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2447" w14:textId="5BEA374B" w:rsidR="00210439" w:rsidRPr="00210439" w:rsidRDefault="00210439" w:rsidP="00210439">
      <w:pPr>
        <w:jc w:val="both"/>
        <w:rPr>
          <w:rFonts w:ascii="Times New Roman" w:hAnsi="Times New Roman" w:cs="Times New Roman"/>
          <w:b/>
          <w:bCs/>
          <w:sz w:val="24"/>
          <w:szCs w:val="24"/>
        </w:rPr>
      </w:pPr>
      <w:r w:rsidRPr="00F970DF">
        <w:rPr>
          <w:rFonts w:ascii="Times New Roman" w:hAnsi="Times New Roman" w:cs="Times New Roman"/>
          <w:b/>
          <w:bCs/>
          <w:sz w:val="24"/>
          <w:szCs w:val="24"/>
        </w:rPr>
        <w:t xml:space="preserve">Decreto del Ministro dell’ambiente e della sicurezza energetica di </w:t>
      </w:r>
      <w:r w:rsidR="00CE3664" w:rsidRPr="00F970DF">
        <w:rPr>
          <w:rFonts w:ascii="Times New Roman" w:hAnsi="Times New Roman" w:cs="Times New Roman"/>
          <w:b/>
          <w:bCs/>
          <w:sz w:val="24"/>
          <w:szCs w:val="24"/>
        </w:rPr>
        <w:t>novella</w:t>
      </w:r>
      <w:r w:rsidRPr="00F970DF">
        <w:rPr>
          <w:rFonts w:ascii="Times New Roman" w:hAnsi="Times New Roman" w:cs="Times New Roman"/>
          <w:b/>
          <w:bCs/>
          <w:sz w:val="24"/>
          <w:szCs w:val="24"/>
        </w:rPr>
        <w:t xml:space="preserve"> del decreto del </w:t>
      </w:r>
      <w:r w:rsidR="00D74976" w:rsidRPr="00F970DF">
        <w:rPr>
          <w:rFonts w:ascii="Times New Roman" w:hAnsi="Times New Roman" w:cs="Times New Roman"/>
          <w:b/>
          <w:bCs/>
          <w:sz w:val="24"/>
          <w:szCs w:val="24"/>
        </w:rPr>
        <w:t xml:space="preserve">Ministro dell’ambiente e della sicurezza energetica </w:t>
      </w:r>
      <w:r w:rsidRPr="00F970DF">
        <w:rPr>
          <w:rFonts w:ascii="Times New Roman" w:hAnsi="Times New Roman" w:cs="Times New Roman"/>
          <w:b/>
          <w:bCs/>
          <w:sz w:val="24"/>
          <w:szCs w:val="24"/>
        </w:rPr>
        <w:t>del 7 agosto 2025 recante la disciplina di incentivazione di interventi di piccole dimensioni per l'incremento dell'efficienza energetica e per la produzione di energia termica da fonti rinnovabili</w:t>
      </w:r>
    </w:p>
    <w:p w14:paraId="3D241D1F" w14:textId="77777777" w:rsidR="0099378A" w:rsidRPr="002D171A" w:rsidRDefault="0099378A" w:rsidP="0099378A">
      <w:pPr>
        <w:jc w:val="both"/>
        <w:rPr>
          <w:rFonts w:ascii="Times New Roman" w:hAnsi="Times New Roman" w:cs="Times New Roman"/>
          <w:bCs/>
          <w:sz w:val="24"/>
          <w:szCs w:val="24"/>
        </w:rPr>
      </w:pPr>
    </w:p>
    <w:p w14:paraId="36CB1392" w14:textId="74B47A0A" w:rsidR="008A302C" w:rsidRPr="002D171A" w:rsidRDefault="008A302C" w:rsidP="001705FC">
      <w:pPr>
        <w:jc w:val="center"/>
        <w:rPr>
          <w:rFonts w:ascii="Times New Roman" w:hAnsi="Times New Roman" w:cs="Times New Roman"/>
          <w:b/>
          <w:sz w:val="24"/>
          <w:szCs w:val="24"/>
        </w:rPr>
      </w:pPr>
      <w:r w:rsidRPr="002D171A">
        <w:rPr>
          <w:rFonts w:ascii="Times New Roman" w:hAnsi="Times New Roman" w:cs="Times New Roman"/>
          <w:b/>
          <w:sz w:val="24"/>
          <w:szCs w:val="24"/>
        </w:rPr>
        <w:t>Relazione tecnico-finanziaria</w:t>
      </w:r>
    </w:p>
    <w:p w14:paraId="14558320" w14:textId="77777777" w:rsidR="00166380" w:rsidRPr="002D171A" w:rsidRDefault="00166380" w:rsidP="00F94D8A">
      <w:pPr>
        <w:spacing w:after="0" w:line="256" w:lineRule="auto"/>
        <w:ind w:firstLine="708"/>
        <w:jc w:val="both"/>
        <w:rPr>
          <w:rFonts w:ascii="Times New Roman" w:eastAsia="Times New Roman" w:hAnsi="Times New Roman" w:cs="Times New Roman"/>
          <w:bCs/>
          <w:sz w:val="24"/>
          <w:szCs w:val="24"/>
          <w:lang w:eastAsia="it-IT"/>
        </w:rPr>
      </w:pPr>
    </w:p>
    <w:p w14:paraId="551DE37D" w14:textId="77777777" w:rsidR="007A3D1D" w:rsidRPr="00F970DF" w:rsidRDefault="007A3D1D" w:rsidP="007A3D1D">
      <w:pPr>
        <w:spacing w:after="120" w:line="257" w:lineRule="auto"/>
        <w:ind w:firstLine="708"/>
        <w:jc w:val="both"/>
        <w:rPr>
          <w:rFonts w:ascii="Times New Roman" w:eastAsia="Times New Roman" w:hAnsi="Times New Roman" w:cs="Times New Roman"/>
          <w:bCs/>
          <w:sz w:val="24"/>
          <w:szCs w:val="24"/>
          <w:lang w:eastAsia="it-IT"/>
        </w:rPr>
      </w:pPr>
      <w:r w:rsidRPr="007A3D1D">
        <w:rPr>
          <w:rFonts w:ascii="Times New Roman" w:eastAsia="Times New Roman" w:hAnsi="Times New Roman" w:cs="Times New Roman"/>
          <w:bCs/>
          <w:sz w:val="24"/>
          <w:szCs w:val="24"/>
          <w:lang w:eastAsia="it-IT"/>
        </w:rPr>
        <w:t xml:space="preserve">Il decreto in esame non comporta nuovi o maggiori oneri a carico della finanza pubblica, in quanto introduce modifiche puntuali di carattere prevalentemente chiarificatorio, correttivo e di razionalizzazione del decreto del Ministro dell’ambiente e della sicurezza energetica 7 agosto 2025, </w:t>
      </w:r>
      <w:r w:rsidRPr="00F970DF">
        <w:rPr>
          <w:rFonts w:ascii="Times New Roman" w:eastAsia="Times New Roman" w:hAnsi="Times New Roman" w:cs="Times New Roman"/>
          <w:bCs/>
          <w:sz w:val="24"/>
          <w:szCs w:val="24"/>
          <w:lang w:eastAsia="it-IT"/>
        </w:rPr>
        <w:t>senza alterarne l’impianto finanziario complessivo.</w:t>
      </w:r>
    </w:p>
    <w:p w14:paraId="014D69BE" w14:textId="77777777" w:rsidR="00850706" w:rsidRPr="002D171A" w:rsidRDefault="00170084">
      <w:pPr>
        <w:pStyle w:val="Normal"/>
        <w:spacing w:after="120"/>
        <w:ind w:firstLine="708"/>
        <w:jc w:val="both"/>
        <w:rPr>
          <w:rFonts w:ascii="Times New Roman" w:eastAsia="Times New Roman" w:hAnsi="Times New Roman" w:cs="Times New Roman"/>
          <w:bCs/>
          <w:i/>
          <w:iCs/>
          <w:sz w:val="24"/>
          <w:szCs w:val="24"/>
        </w:rPr>
      </w:pPr>
      <w:r w:rsidRPr="00E5152D">
        <w:rPr>
          <w:rFonts w:ascii="Times New Roman" w:hAnsi="Times New Roman" w:cs="Times New Roman"/>
          <w:sz w:val="24"/>
          <w:szCs w:val="24"/>
        </w:rPr>
        <w:t xml:space="preserve">Resta fermo che l’attuazione delle disposizioni recate dal presente decreto avviene nei limiti delle risorse finanziarie già destinate al meccanismo del Conto Termico e, comunque, nel rispetto del limite massimo di spesa annua cumulata pari a 900 milioni di euro previsto </w:t>
      </w:r>
      <w:r w:rsidR="00E5152D" w:rsidRPr="00E5152D">
        <w:rPr>
          <w:rFonts w:ascii="Times New Roman" w:hAnsi="Times New Roman" w:cs="Times New Roman"/>
          <w:sz w:val="24"/>
          <w:szCs w:val="24"/>
        </w:rPr>
        <w:t>dall’articolo 47, comma 9-bis, del decreto-legge 24 febbraio 2023, n. 13, convertito, con modificazioni, dalla legge 21 aprile 2023, n. 41, di cui 500 milioni di euro destinati agli interventi realizzati dai soggetti privati e 400 milioni di euro agli interventi da realizzare o realizzati da parte delle amministrazioni pubbliche</w:t>
      </w:r>
      <w:r w:rsidRPr="00E5152D">
        <w:rPr>
          <w:rFonts w:ascii="Times New Roman" w:hAnsi="Times New Roman" w:cs="Times New Roman"/>
          <w:sz w:val="24"/>
          <w:szCs w:val="24"/>
        </w:rPr>
        <w:t>, senza determinare nuovi o maggiori oneri a carico della finanza pubblica.</w:t>
      </w:r>
    </w:p>
    <w:p w14:paraId="74C94FEF" w14:textId="5E9B4E08" w:rsidR="007D3073" w:rsidRDefault="009F07A6" w:rsidP="007D3073">
      <w:pPr>
        <w:spacing w:after="120" w:line="257" w:lineRule="auto"/>
        <w:ind w:firstLine="708"/>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A</w:t>
      </w:r>
      <w:r w:rsidRPr="009F07A6">
        <w:rPr>
          <w:rFonts w:ascii="Times New Roman" w:eastAsia="Times New Roman" w:hAnsi="Times New Roman" w:cs="Times New Roman"/>
          <w:bCs/>
          <w:sz w:val="24"/>
          <w:szCs w:val="24"/>
          <w:lang w:eastAsia="it-IT"/>
        </w:rPr>
        <w:t>i sensi degli articoli 27 e 28, comma 4, del decreto legislativo 3 marzo 2011, n. 28, le risorse per l’erogazione degli incentivi per la produzione di energia termica da fonti rinnovabili e per interventi di efficienza energetica di piccole dimensioni trovano copertura a valere sul gettito delle componenti delle tariffe del gas naturale, e in particolare, a valere sulla componente RE di cui all’articolo 42, comma 42.3, lettera d), della RTDG 2020-2025 e sulla componente tariffaria RET di cui all’articolo 41, comma 41.1, lettera c), della RTTG 2024-2027, che alimentano il Fondo per misure ed interventi per il risparmio energetico e lo sviluppo delle fonti rinnovabili nel settore del gas naturale (di cui all’articolo 75 della RTDG 2020-2025)</w:t>
      </w:r>
      <w:r w:rsidR="007D3073">
        <w:rPr>
          <w:rFonts w:ascii="Times New Roman" w:eastAsia="Times New Roman" w:hAnsi="Times New Roman" w:cs="Times New Roman"/>
          <w:bCs/>
          <w:sz w:val="24"/>
          <w:szCs w:val="24"/>
          <w:lang w:eastAsia="it-IT"/>
        </w:rPr>
        <w:t>.</w:t>
      </w:r>
    </w:p>
    <w:p w14:paraId="0D07B377" w14:textId="5608A1AF" w:rsidR="00753FF0" w:rsidRPr="004F2DB6" w:rsidRDefault="00753FF0" w:rsidP="412E853A">
      <w:pPr>
        <w:spacing w:after="120" w:line="257" w:lineRule="auto"/>
        <w:ind w:firstLine="708"/>
        <w:jc w:val="both"/>
        <w:rPr>
          <w:rFonts w:ascii="Times New Roman" w:hAnsi="Times New Roman" w:cs="Times New Roman"/>
          <w:sz w:val="24"/>
          <w:szCs w:val="24"/>
          <w:lang w:eastAsia="it-IT"/>
        </w:rPr>
      </w:pPr>
      <w:r w:rsidRPr="412E853A">
        <w:rPr>
          <w:rFonts w:ascii="Times New Roman" w:eastAsia="Times New Roman" w:hAnsi="Times New Roman" w:cs="Times New Roman"/>
          <w:sz w:val="24"/>
          <w:szCs w:val="24"/>
          <w:lang w:eastAsia="it-IT"/>
        </w:rPr>
        <w:t>L’</w:t>
      </w:r>
      <w:r w:rsidR="00557B51" w:rsidRPr="412E853A">
        <w:rPr>
          <w:rFonts w:ascii="Times New Roman" w:eastAsia="Times New Roman" w:hAnsi="Times New Roman" w:cs="Times New Roman"/>
          <w:sz w:val="24"/>
          <w:szCs w:val="24"/>
          <w:lang w:eastAsia="it-IT"/>
        </w:rPr>
        <w:t>articol</w:t>
      </w:r>
      <w:r w:rsidRPr="412E853A">
        <w:rPr>
          <w:rFonts w:ascii="Times New Roman" w:eastAsia="Times New Roman" w:hAnsi="Times New Roman" w:cs="Times New Roman"/>
          <w:sz w:val="24"/>
          <w:szCs w:val="24"/>
          <w:lang w:eastAsia="it-IT"/>
        </w:rPr>
        <w:t>o</w:t>
      </w:r>
      <w:r w:rsidR="00557B51" w:rsidRPr="412E853A">
        <w:rPr>
          <w:rFonts w:ascii="Times New Roman" w:eastAsia="Times New Roman" w:hAnsi="Times New Roman" w:cs="Times New Roman"/>
          <w:sz w:val="24"/>
          <w:szCs w:val="24"/>
          <w:lang w:eastAsia="it-IT"/>
        </w:rPr>
        <w:t xml:space="preserve"> 1, </w:t>
      </w:r>
      <w:r w:rsidRPr="412E853A">
        <w:rPr>
          <w:rFonts w:ascii="Times New Roman" w:eastAsia="Times New Roman" w:hAnsi="Times New Roman" w:cs="Times New Roman"/>
          <w:sz w:val="24"/>
          <w:szCs w:val="24"/>
          <w:lang w:eastAsia="it-IT"/>
        </w:rPr>
        <w:t>rubricato “</w:t>
      </w:r>
      <w:r w:rsidR="00A36596" w:rsidRPr="412E853A">
        <w:rPr>
          <w:rFonts w:ascii="Times New Roman" w:eastAsia="Times New Roman" w:hAnsi="Times New Roman" w:cs="Times New Roman"/>
          <w:i/>
          <w:iCs/>
          <w:sz w:val="24"/>
          <w:szCs w:val="24"/>
          <w:lang w:eastAsia="it-IT"/>
        </w:rPr>
        <w:t>Oggetto</w:t>
      </w:r>
      <w:r w:rsidRPr="412E853A">
        <w:rPr>
          <w:rFonts w:ascii="Times New Roman" w:hAnsi="Times New Roman" w:cs="Times New Roman"/>
          <w:i/>
          <w:iCs/>
          <w:sz w:val="24"/>
          <w:szCs w:val="24"/>
          <w:lang w:eastAsia="it-IT"/>
        </w:rPr>
        <w:t>”</w:t>
      </w:r>
      <w:r w:rsidR="00A11B7C" w:rsidRPr="412E853A">
        <w:rPr>
          <w:rFonts w:ascii="Times New Roman" w:hAnsi="Times New Roman" w:cs="Times New Roman"/>
          <w:i/>
          <w:iCs/>
          <w:sz w:val="24"/>
          <w:szCs w:val="24"/>
          <w:lang w:eastAsia="it-IT"/>
        </w:rPr>
        <w:t>,</w:t>
      </w:r>
      <w:r w:rsidRPr="412E853A">
        <w:rPr>
          <w:rFonts w:ascii="Times New Roman" w:hAnsi="Times New Roman" w:cs="Times New Roman"/>
          <w:sz w:val="24"/>
          <w:szCs w:val="24"/>
          <w:lang w:eastAsia="it-IT"/>
        </w:rPr>
        <w:t xml:space="preserve"> </w:t>
      </w:r>
      <w:r w:rsidR="00D74976" w:rsidRPr="412E853A">
        <w:rPr>
          <w:rFonts w:ascii="Times New Roman" w:hAnsi="Times New Roman" w:cs="Times New Roman"/>
          <w:sz w:val="24"/>
          <w:szCs w:val="24"/>
          <w:lang w:eastAsia="it-IT"/>
        </w:rPr>
        <w:t xml:space="preserve">non determina nuovi o maggiori oneri. </w:t>
      </w:r>
      <w:r w:rsidR="453A15A9" w:rsidRPr="412E853A">
        <w:rPr>
          <w:rFonts w:ascii="Times New Roman" w:hAnsi="Times New Roman" w:cs="Times New Roman"/>
          <w:sz w:val="24"/>
          <w:szCs w:val="24"/>
          <w:lang w:eastAsia="it-IT"/>
        </w:rPr>
        <w:t xml:space="preserve"> </w:t>
      </w:r>
      <w:r w:rsidR="00D74976" w:rsidRPr="412E853A">
        <w:rPr>
          <w:rFonts w:ascii="Times New Roman" w:hAnsi="Times New Roman" w:cs="Times New Roman"/>
          <w:sz w:val="24"/>
          <w:szCs w:val="24"/>
          <w:lang w:eastAsia="it-IT"/>
        </w:rPr>
        <w:t xml:space="preserve">La disposizione </w:t>
      </w:r>
      <w:r w:rsidR="433194BA" w:rsidRPr="412E853A">
        <w:rPr>
          <w:rFonts w:ascii="Times New Roman" w:hAnsi="Times New Roman" w:cs="Times New Roman"/>
          <w:sz w:val="24"/>
          <w:szCs w:val="24"/>
          <w:lang w:eastAsia="it-IT"/>
        </w:rPr>
        <w:t>individua l’oggetto del provvedimento e chiarisce che il decreto modifica e integra</w:t>
      </w:r>
      <w:r w:rsidR="0E1CD99D" w:rsidRPr="412E853A">
        <w:rPr>
          <w:rFonts w:ascii="Times New Roman" w:hAnsi="Times New Roman" w:cs="Times New Roman"/>
          <w:sz w:val="24"/>
          <w:szCs w:val="24"/>
          <w:lang w:eastAsia="it-IT"/>
        </w:rPr>
        <w:t xml:space="preserve"> </w:t>
      </w:r>
      <w:r w:rsidR="433194BA" w:rsidRPr="412E853A">
        <w:rPr>
          <w:rFonts w:ascii="Times New Roman" w:hAnsi="Times New Roman" w:cs="Times New Roman"/>
          <w:sz w:val="24"/>
          <w:szCs w:val="24"/>
          <w:lang w:eastAsia="it-IT"/>
        </w:rPr>
        <w:t>il decreto 7 agosto 2025 al fine di</w:t>
      </w:r>
      <w:r w:rsidR="03C6F822" w:rsidRPr="412E853A">
        <w:rPr>
          <w:rFonts w:ascii="Times New Roman" w:hAnsi="Times New Roman" w:cs="Times New Roman"/>
          <w:sz w:val="24"/>
          <w:szCs w:val="24"/>
          <w:lang w:eastAsia="it-IT"/>
        </w:rPr>
        <w:t xml:space="preserve"> </w:t>
      </w:r>
      <w:r w:rsidR="433194BA" w:rsidRPr="004F2DB6">
        <w:rPr>
          <w:rFonts w:ascii="Times New Roman" w:hAnsi="Times New Roman" w:cs="Times New Roman"/>
          <w:sz w:val="24"/>
          <w:szCs w:val="24"/>
          <w:lang w:eastAsia="it-IT"/>
        </w:rPr>
        <w:t>precisare le modalità di determinazione e gestione dell’impegno di spesa annua cumulata e aggiornare le disposizioni applicabili ai soggetti ammessi e i requisiti tecnici degli interventi.</w:t>
      </w:r>
    </w:p>
    <w:p w14:paraId="54D44A9B" w14:textId="269F02BE" w:rsidR="00D74976" w:rsidRDefault="00753FF0" w:rsidP="00CA0F25">
      <w:pPr>
        <w:spacing w:after="120" w:line="257" w:lineRule="auto"/>
        <w:ind w:firstLine="708"/>
        <w:jc w:val="both"/>
        <w:rPr>
          <w:rFonts w:ascii="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557B51" w:rsidRPr="002D171A">
        <w:rPr>
          <w:rFonts w:ascii="Times New Roman" w:eastAsia="Times New Roman" w:hAnsi="Times New Roman" w:cs="Times New Roman"/>
          <w:bCs/>
          <w:sz w:val="24"/>
          <w:szCs w:val="24"/>
          <w:lang w:eastAsia="it-IT"/>
        </w:rPr>
        <w:t>2,</w:t>
      </w:r>
      <w:r w:rsidRPr="002D171A">
        <w:rPr>
          <w:rFonts w:ascii="Times New Roman" w:eastAsia="Times New Roman" w:hAnsi="Times New Roman" w:cs="Times New Roman"/>
          <w:bCs/>
          <w:sz w:val="24"/>
          <w:szCs w:val="24"/>
          <w:lang w:eastAsia="it-IT"/>
        </w:rPr>
        <w:t xml:space="preserve"> rubricato “</w:t>
      </w:r>
      <w:r w:rsidR="00CD1D95" w:rsidRPr="00CD1D95">
        <w:rPr>
          <w:rFonts w:ascii="Times New Roman" w:eastAsia="Times New Roman" w:hAnsi="Times New Roman" w:cs="Times New Roman"/>
          <w:bCs/>
          <w:i/>
          <w:iCs/>
          <w:sz w:val="24"/>
          <w:szCs w:val="24"/>
          <w:lang w:eastAsia="it-IT"/>
        </w:rPr>
        <w:t>Modifiche all’articolo 2 “Definizioni” del D.M. 7 agosto 2025</w:t>
      </w:r>
      <w:r w:rsidRPr="002D171A">
        <w:rPr>
          <w:rFonts w:ascii="Times New Roman" w:eastAsia="Times New Roman" w:hAnsi="Times New Roman" w:cs="Times New Roman"/>
          <w:bCs/>
          <w:sz w:val="24"/>
          <w:szCs w:val="24"/>
          <w:lang w:eastAsia="it-IT"/>
        </w:rPr>
        <w:t>”</w:t>
      </w:r>
      <w:r w:rsidR="00A11B7C" w:rsidRPr="002D171A">
        <w:rPr>
          <w:rFonts w:ascii="Times New Roman" w:eastAsia="Times New Roman" w:hAnsi="Times New Roman" w:cs="Times New Roman"/>
          <w:bCs/>
          <w:sz w:val="24"/>
          <w:szCs w:val="24"/>
          <w:lang w:eastAsia="it-IT"/>
        </w:rPr>
        <w:t>,</w:t>
      </w:r>
      <w:r w:rsidRPr="002D171A">
        <w:rPr>
          <w:rFonts w:ascii="Times New Roman" w:hAnsi="Times New Roman" w:cs="Times New Roman"/>
          <w:bCs/>
          <w:sz w:val="24"/>
          <w:szCs w:val="24"/>
          <w:lang w:eastAsia="it-IT"/>
        </w:rPr>
        <w:t xml:space="preserve"> </w:t>
      </w:r>
      <w:r w:rsidR="00D74976">
        <w:rPr>
          <w:rFonts w:ascii="Times New Roman" w:hAnsi="Times New Roman" w:cs="Times New Roman"/>
          <w:bCs/>
          <w:sz w:val="24"/>
          <w:szCs w:val="24"/>
          <w:lang w:eastAsia="it-IT"/>
        </w:rPr>
        <w:t>n</w:t>
      </w:r>
      <w:r w:rsidR="00D74976" w:rsidRPr="00D74976">
        <w:rPr>
          <w:rFonts w:ascii="Times New Roman" w:hAnsi="Times New Roman" w:cs="Times New Roman"/>
          <w:bCs/>
          <w:sz w:val="24"/>
          <w:szCs w:val="24"/>
          <w:lang w:eastAsia="it-IT"/>
        </w:rPr>
        <w:t>on determina nuovi o maggiori oneri, in quanto reca modifiche di carattere definitorio, interpretativo e di coordinamento normativo, volte a chiarire l’ambito applicativo della disciplina.</w:t>
      </w:r>
    </w:p>
    <w:p w14:paraId="14A9C6ED" w14:textId="77777777" w:rsidR="007B6F99" w:rsidRDefault="007B6F99">
      <w:pPr>
        <w:pStyle w:val="Normale1"/>
        <w:spacing w:after="120"/>
        <w:ind w:firstLine="708"/>
        <w:jc w:val="both"/>
        <w:rPr>
          <w:rFonts w:ascii="Times New Roman" w:eastAsia="Times New Roman" w:hAnsi="Times New Roman" w:cs="Times New Roman"/>
          <w:bCs/>
          <w:sz w:val="24"/>
          <w:szCs w:val="24"/>
        </w:rPr>
      </w:pPr>
      <w:r w:rsidRPr="007B6F99">
        <w:rPr>
          <w:rFonts w:ascii="Times New Roman" w:eastAsia="Times New Roman" w:hAnsi="Times New Roman" w:cs="Times New Roman"/>
          <w:bCs/>
          <w:sz w:val="24"/>
          <w:szCs w:val="24"/>
        </w:rPr>
        <w:t>L’articolo 3, rubricato “</w:t>
      </w:r>
      <w:r w:rsidRPr="007B6F99">
        <w:rPr>
          <w:rFonts w:ascii="Times New Roman" w:eastAsia="Times New Roman" w:hAnsi="Times New Roman" w:cs="Times New Roman"/>
          <w:bCs/>
          <w:i/>
          <w:iCs/>
          <w:sz w:val="24"/>
          <w:szCs w:val="24"/>
        </w:rPr>
        <w:t>Modifiche all’articolo 3 “Limiti di spesa annua cumulata per gli incentivi” del D.M. 7 agosto 2025</w:t>
      </w:r>
      <w:r w:rsidRPr="007B6F99">
        <w:rPr>
          <w:rFonts w:ascii="Times New Roman" w:eastAsia="Times New Roman" w:hAnsi="Times New Roman" w:cs="Times New Roman"/>
          <w:bCs/>
          <w:sz w:val="24"/>
          <w:szCs w:val="24"/>
        </w:rPr>
        <w:t>”, non determina nuovi o maggiori oneri, poiché interviene entro il limite complessivo di spesa già vigente. La disposizione ridefinisce l’articolazione dei limiti e dei meccanismi di accesso agli incentivi, introducendo strumenti di gestione più flessibili, quali soglie di saturazione e possibilità di rimodulazione delle risorse. È inoltre prevista la facoltà di destinare, con decreto ministeriale, una quota dell’impegno massimo di spesa annua cumulata alle procedure d’asta per la produzione di energia termica da fonti rinnovabili di cui all’articolo 10, comma 1, lettera a), del decreto legislativo n. 199 del 2021. La quota assegnata all’esito delle aste è posta proporzionalmente a valere sulle risorse destinate alle diverse tipologie di soggetti beneficiari, senza incremento del limite complessivo di spesa.</w:t>
      </w:r>
    </w:p>
    <w:p w14:paraId="55DD9948" w14:textId="77777777" w:rsidR="00D74976" w:rsidRDefault="006979C5" w:rsidP="00106B31">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lastRenderedPageBreak/>
        <w:t>L’</w:t>
      </w:r>
      <w:r w:rsidR="00E30191" w:rsidRPr="002D171A">
        <w:rPr>
          <w:rFonts w:ascii="Times New Roman" w:eastAsia="Times New Roman" w:hAnsi="Times New Roman" w:cs="Times New Roman"/>
          <w:bCs/>
          <w:sz w:val="24"/>
          <w:szCs w:val="24"/>
          <w:lang w:eastAsia="it-IT"/>
        </w:rPr>
        <w:t>articol</w:t>
      </w:r>
      <w:r w:rsidRPr="002D171A">
        <w:rPr>
          <w:rFonts w:ascii="Times New Roman" w:eastAsia="Times New Roman" w:hAnsi="Times New Roman" w:cs="Times New Roman"/>
          <w:bCs/>
          <w:sz w:val="24"/>
          <w:szCs w:val="24"/>
          <w:lang w:eastAsia="it-IT"/>
        </w:rPr>
        <w:t>o</w:t>
      </w:r>
      <w:r w:rsidR="00E30191" w:rsidRPr="002D171A">
        <w:rPr>
          <w:rFonts w:ascii="Times New Roman" w:eastAsia="Times New Roman" w:hAnsi="Times New Roman" w:cs="Times New Roman"/>
          <w:bCs/>
          <w:sz w:val="24"/>
          <w:szCs w:val="24"/>
          <w:lang w:eastAsia="it-IT"/>
        </w:rPr>
        <w:t xml:space="preserve"> </w:t>
      </w:r>
      <w:r w:rsidR="00641EF4" w:rsidRPr="002D171A">
        <w:rPr>
          <w:rFonts w:ascii="Times New Roman" w:eastAsia="Times New Roman" w:hAnsi="Times New Roman" w:cs="Times New Roman"/>
          <w:bCs/>
          <w:sz w:val="24"/>
          <w:szCs w:val="24"/>
          <w:lang w:eastAsia="it-IT"/>
        </w:rPr>
        <w:t>4</w:t>
      </w:r>
      <w:r w:rsidR="00E30191" w:rsidRPr="002D171A">
        <w:rPr>
          <w:rFonts w:ascii="Times New Roman" w:eastAsia="Times New Roman" w:hAnsi="Times New Roman" w:cs="Times New Roman"/>
          <w:bCs/>
          <w:sz w:val="24"/>
          <w:szCs w:val="24"/>
          <w:lang w:eastAsia="it-IT"/>
        </w:rPr>
        <w:t>,</w:t>
      </w:r>
      <w:r w:rsidRPr="002D171A">
        <w:rPr>
          <w:rFonts w:ascii="Times New Roman" w:eastAsia="Times New Roman" w:hAnsi="Times New Roman" w:cs="Times New Roman"/>
          <w:bCs/>
          <w:sz w:val="24"/>
          <w:szCs w:val="24"/>
          <w:lang w:eastAsia="it-IT"/>
        </w:rPr>
        <w:t xml:space="preserve"> rubricato “</w:t>
      </w:r>
      <w:r w:rsidR="00CD1D95" w:rsidRPr="00CD1D95">
        <w:rPr>
          <w:rFonts w:ascii="Times New Roman" w:eastAsia="Times New Roman" w:hAnsi="Times New Roman" w:cs="Times New Roman"/>
          <w:bCs/>
          <w:i/>
          <w:iCs/>
          <w:sz w:val="24"/>
          <w:szCs w:val="24"/>
          <w:lang w:eastAsia="it-IT"/>
        </w:rPr>
        <w:t>Modifiche all’articolo 11 “Erogazione e durata dell'incentivo” del D.M. 7 agosto 2025</w:t>
      </w:r>
      <w:r w:rsidRPr="002D171A">
        <w:rPr>
          <w:rFonts w:ascii="Times New Roman" w:eastAsia="Times New Roman" w:hAnsi="Times New Roman" w:cs="Times New Roman"/>
          <w:bCs/>
          <w:sz w:val="24"/>
          <w:szCs w:val="24"/>
          <w:lang w:eastAsia="it-IT"/>
        </w:rPr>
        <w:t>”</w:t>
      </w:r>
      <w:r w:rsidR="00A11B7C" w:rsidRPr="002D171A">
        <w:rPr>
          <w:rFonts w:ascii="Times New Roman" w:eastAsia="Times New Roman" w:hAnsi="Times New Roman" w:cs="Times New Roman"/>
          <w:bCs/>
          <w:sz w:val="24"/>
          <w:szCs w:val="24"/>
          <w:lang w:eastAsia="it-IT"/>
        </w:rPr>
        <w:t>,</w:t>
      </w:r>
      <w:r w:rsidRPr="002D171A">
        <w:rPr>
          <w:rFonts w:ascii="Times New Roman" w:eastAsia="Times New Roman" w:hAnsi="Times New Roman" w:cs="Times New Roman"/>
          <w:bCs/>
          <w:sz w:val="24"/>
          <w:szCs w:val="24"/>
          <w:lang w:eastAsia="it-IT"/>
        </w:rPr>
        <w:t xml:space="preserve"> non determina alcun impatto finanziario. </w:t>
      </w:r>
      <w:r w:rsidR="00D74976" w:rsidRPr="00D74976">
        <w:rPr>
          <w:rFonts w:ascii="Times New Roman" w:eastAsia="Times New Roman" w:hAnsi="Times New Roman" w:cs="Times New Roman"/>
          <w:bCs/>
          <w:sz w:val="24"/>
          <w:szCs w:val="24"/>
          <w:lang w:eastAsia="it-IT"/>
        </w:rPr>
        <w:t>La disposizione modifica l’intensità dell’incentivo riconosciuto ai comuni con popolazione fino a 15.000 abitanti e introduce una soglia per l’erogazione in un’unica soluzione</w:t>
      </w:r>
      <w:r w:rsidR="00D74976">
        <w:rPr>
          <w:rFonts w:ascii="Times New Roman" w:eastAsia="Times New Roman" w:hAnsi="Times New Roman" w:cs="Times New Roman"/>
          <w:bCs/>
          <w:sz w:val="24"/>
          <w:szCs w:val="24"/>
          <w:lang w:eastAsia="it-IT"/>
        </w:rPr>
        <w:t>.</w:t>
      </w:r>
    </w:p>
    <w:p w14:paraId="4BFB4013" w14:textId="5AD95509" w:rsidR="00D74976" w:rsidRDefault="006979C5" w:rsidP="00106B31">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641EF4" w:rsidRPr="002D171A">
        <w:rPr>
          <w:rFonts w:ascii="Times New Roman" w:eastAsia="Times New Roman" w:hAnsi="Times New Roman" w:cs="Times New Roman"/>
          <w:bCs/>
          <w:sz w:val="24"/>
          <w:szCs w:val="24"/>
          <w:lang w:eastAsia="it-IT"/>
        </w:rPr>
        <w:t>5</w:t>
      </w:r>
      <w:r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all’articolo 13 “Modalità di accesso tramite ESCO ed altri soggetti abilitati” del D.M. 7 agosto 2025</w:t>
      </w:r>
      <w:r w:rsidR="00140C75" w:rsidRPr="002D171A">
        <w:rPr>
          <w:rFonts w:ascii="Times New Roman" w:eastAsia="Times New Roman" w:hAnsi="Times New Roman" w:cs="Times New Roman"/>
          <w:bCs/>
          <w:i/>
          <w:iCs/>
          <w:sz w:val="24"/>
          <w:szCs w:val="24"/>
          <w:lang w:eastAsia="it-IT"/>
        </w:rPr>
        <w:t>”</w:t>
      </w:r>
      <w:r w:rsidR="00A11B7C" w:rsidRPr="002D171A">
        <w:rPr>
          <w:rFonts w:ascii="Times New Roman" w:eastAsia="Times New Roman" w:hAnsi="Times New Roman" w:cs="Times New Roman"/>
          <w:bCs/>
          <w:sz w:val="24"/>
          <w:szCs w:val="24"/>
          <w:lang w:eastAsia="it-IT"/>
        </w:rPr>
        <w:t>,</w:t>
      </w:r>
      <w:r w:rsidR="00FB5C11" w:rsidRPr="002D171A">
        <w:rPr>
          <w:rFonts w:ascii="Times New Roman" w:eastAsia="Times New Roman" w:hAnsi="Times New Roman" w:cs="Times New Roman"/>
          <w:bCs/>
          <w:sz w:val="24"/>
          <w:szCs w:val="24"/>
          <w:lang w:eastAsia="it-IT"/>
        </w:rPr>
        <w:t xml:space="preserve"> </w:t>
      </w:r>
      <w:r w:rsidR="00E30191" w:rsidRPr="002D171A">
        <w:rPr>
          <w:rFonts w:ascii="Times New Roman" w:eastAsia="Times New Roman" w:hAnsi="Times New Roman" w:cs="Times New Roman"/>
          <w:bCs/>
          <w:sz w:val="24"/>
          <w:szCs w:val="24"/>
          <w:lang w:eastAsia="it-IT"/>
        </w:rPr>
        <w:t>non determina</w:t>
      </w:r>
      <w:r w:rsidR="00FB5C11" w:rsidRPr="002D171A">
        <w:rPr>
          <w:rFonts w:ascii="Times New Roman" w:eastAsia="Times New Roman" w:hAnsi="Times New Roman" w:cs="Times New Roman"/>
          <w:bCs/>
          <w:sz w:val="24"/>
          <w:szCs w:val="24"/>
          <w:lang w:eastAsia="it-IT"/>
        </w:rPr>
        <w:t xml:space="preserve"> alcun</w:t>
      </w:r>
      <w:r w:rsidR="00E30191" w:rsidRPr="002D171A">
        <w:rPr>
          <w:rFonts w:ascii="Times New Roman" w:eastAsia="Times New Roman" w:hAnsi="Times New Roman" w:cs="Times New Roman"/>
          <w:bCs/>
          <w:sz w:val="24"/>
          <w:szCs w:val="24"/>
          <w:lang w:eastAsia="it-IT"/>
        </w:rPr>
        <w:t xml:space="preserve"> impatt</w:t>
      </w:r>
      <w:r w:rsidR="00FB5C11" w:rsidRPr="002D171A">
        <w:rPr>
          <w:rFonts w:ascii="Times New Roman" w:eastAsia="Times New Roman" w:hAnsi="Times New Roman" w:cs="Times New Roman"/>
          <w:bCs/>
          <w:sz w:val="24"/>
          <w:szCs w:val="24"/>
          <w:lang w:eastAsia="it-IT"/>
        </w:rPr>
        <w:t>o</w:t>
      </w:r>
      <w:r w:rsidR="00E30191" w:rsidRPr="002D171A">
        <w:rPr>
          <w:rFonts w:ascii="Times New Roman" w:eastAsia="Times New Roman" w:hAnsi="Times New Roman" w:cs="Times New Roman"/>
          <w:bCs/>
          <w:sz w:val="24"/>
          <w:szCs w:val="24"/>
          <w:lang w:eastAsia="it-IT"/>
        </w:rPr>
        <w:t xml:space="preserve"> finanziari</w:t>
      </w:r>
      <w:r w:rsidR="00FB5C11" w:rsidRPr="002D171A">
        <w:rPr>
          <w:rFonts w:ascii="Times New Roman" w:eastAsia="Times New Roman" w:hAnsi="Times New Roman" w:cs="Times New Roman"/>
          <w:bCs/>
          <w:sz w:val="24"/>
          <w:szCs w:val="24"/>
          <w:lang w:eastAsia="it-IT"/>
        </w:rPr>
        <w:t xml:space="preserve">o. </w:t>
      </w:r>
      <w:r w:rsidR="00106B31" w:rsidRPr="00106B31">
        <w:rPr>
          <w:rFonts w:ascii="Times New Roman" w:eastAsia="Times New Roman" w:hAnsi="Times New Roman" w:cs="Times New Roman"/>
          <w:bCs/>
          <w:sz w:val="24"/>
          <w:szCs w:val="24"/>
          <w:lang w:eastAsia="it-IT"/>
        </w:rPr>
        <w:t xml:space="preserve">La disposizione chiarisce la possibilità per le amministrazioni pubbliche di avvalersi delle ESCO anche nell’ambito di </w:t>
      </w:r>
      <w:r w:rsidR="00D74976" w:rsidRPr="00D74976">
        <w:rPr>
          <w:rFonts w:ascii="Times New Roman" w:eastAsia="Times New Roman" w:hAnsi="Times New Roman" w:cs="Times New Roman"/>
          <w:bCs/>
          <w:sz w:val="24"/>
          <w:szCs w:val="24"/>
          <w:lang w:eastAsia="it-IT"/>
        </w:rPr>
        <w:t>forme di partenariato pubblico-privato</w:t>
      </w:r>
      <w:r w:rsidR="00D74976">
        <w:rPr>
          <w:rFonts w:ascii="Times New Roman" w:eastAsia="Times New Roman" w:hAnsi="Times New Roman" w:cs="Times New Roman"/>
          <w:bCs/>
          <w:sz w:val="24"/>
          <w:szCs w:val="24"/>
          <w:lang w:eastAsia="it-IT"/>
        </w:rPr>
        <w:t>.</w:t>
      </w:r>
    </w:p>
    <w:p w14:paraId="31ACB35D" w14:textId="657B7318" w:rsidR="00106B31" w:rsidRPr="00106B31" w:rsidRDefault="00FB5C11" w:rsidP="00106B31">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641EF4" w:rsidRPr="002D171A">
        <w:rPr>
          <w:rFonts w:ascii="Times New Roman" w:eastAsia="Times New Roman" w:hAnsi="Times New Roman" w:cs="Times New Roman"/>
          <w:bCs/>
          <w:sz w:val="24"/>
          <w:szCs w:val="24"/>
          <w:lang w:eastAsia="it-IT"/>
        </w:rPr>
        <w:t>6</w:t>
      </w:r>
      <w:r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all’articolo 14 “Procedura di accesso agli incentivi” del D.M. 7 agosto 2025</w:t>
      </w:r>
      <w:r w:rsidRPr="002D171A">
        <w:rPr>
          <w:rFonts w:ascii="Times New Roman" w:eastAsia="Times New Roman" w:hAnsi="Times New Roman" w:cs="Times New Roman"/>
          <w:bCs/>
          <w:sz w:val="24"/>
          <w:szCs w:val="24"/>
          <w:lang w:eastAsia="it-IT"/>
        </w:rPr>
        <w:t>”</w:t>
      </w:r>
      <w:r w:rsidR="00A11B7C" w:rsidRPr="002D171A">
        <w:rPr>
          <w:rFonts w:ascii="Times New Roman" w:eastAsia="Times New Roman" w:hAnsi="Times New Roman" w:cs="Times New Roman"/>
          <w:bCs/>
          <w:sz w:val="24"/>
          <w:szCs w:val="24"/>
          <w:lang w:eastAsia="it-IT"/>
        </w:rPr>
        <w:t>,</w:t>
      </w:r>
      <w:r w:rsidRPr="002D171A">
        <w:rPr>
          <w:rFonts w:ascii="Times New Roman" w:eastAsia="Times New Roman" w:hAnsi="Times New Roman" w:cs="Times New Roman"/>
          <w:bCs/>
          <w:sz w:val="24"/>
          <w:szCs w:val="24"/>
          <w:lang w:eastAsia="it-IT"/>
        </w:rPr>
        <w:t xml:space="preserve"> non determina alcun impatto finanziario. </w:t>
      </w:r>
      <w:r w:rsidR="00106B31" w:rsidRPr="00106B31">
        <w:rPr>
          <w:rFonts w:ascii="Times New Roman" w:eastAsia="Times New Roman" w:hAnsi="Times New Roman" w:cs="Times New Roman"/>
          <w:bCs/>
          <w:sz w:val="24"/>
          <w:szCs w:val="24"/>
          <w:lang w:eastAsia="it-IT"/>
        </w:rPr>
        <w:t>La disposizione semplifica la disciplina della procedura di accesso agli incentivi.</w:t>
      </w:r>
    </w:p>
    <w:p w14:paraId="6972394B" w14:textId="77777777" w:rsidR="007B6F99" w:rsidRPr="007B6F99" w:rsidRDefault="00E30191" w:rsidP="007B6F99">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641EF4" w:rsidRPr="002D171A">
        <w:rPr>
          <w:rFonts w:ascii="Times New Roman" w:eastAsia="Times New Roman" w:hAnsi="Times New Roman" w:cs="Times New Roman"/>
          <w:bCs/>
          <w:sz w:val="24"/>
          <w:szCs w:val="24"/>
          <w:lang w:eastAsia="it-IT"/>
        </w:rPr>
        <w:t>7</w:t>
      </w:r>
      <w:r w:rsidR="00187934"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all’articolo 15 “Diagnosi e certificazione energetica” del D.M. 7 agosto 2025</w:t>
      </w:r>
      <w:r w:rsidR="00187934" w:rsidRPr="002D171A">
        <w:rPr>
          <w:rFonts w:ascii="Times New Roman" w:eastAsia="Times New Roman" w:hAnsi="Times New Roman" w:cs="Times New Roman"/>
          <w:bCs/>
          <w:sz w:val="24"/>
          <w:szCs w:val="24"/>
          <w:lang w:eastAsia="it-IT"/>
        </w:rPr>
        <w:t>”</w:t>
      </w:r>
      <w:r w:rsidR="00A11B7C" w:rsidRPr="002D171A">
        <w:rPr>
          <w:rFonts w:ascii="Times New Roman" w:eastAsia="Times New Roman" w:hAnsi="Times New Roman" w:cs="Times New Roman"/>
          <w:bCs/>
          <w:sz w:val="24"/>
          <w:szCs w:val="24"/>
          <w:lang w:eastAsia="it-IT"/>
        </w:rPr>
        <w:t>,</w:t>
      </w:r>
      <w:r w:rsidR="00187934" w:rsidRPr="002D171A">
        <w:rPr>
          <w:rFonts w:ascii="Times New Roman" w:eastAsia="Times New Roman" w:hAnsi="Times New Roman" w:cs="Times New Roman"/>
          <w:bCs/>
          <w:sz w:val="24"/>
          <w:szCs w:val="24"/>
          <w:lang w:eastAsia="it-IT"/>
        </w:rPr>
        <w:t xml:space="preserve"> </w:t>
      </w:r>
      <w:r w:rsidR="007B6F99" w:rsidRPr="007B6F99">
        <w:rPr>
          <w:rFonts w:ascii="Times New Roman" w:eastAsia="Times New Roman" w:hAnsi="Times New Roman" w:cs="Times New Roman"/>
          <w:bCs/>
          <w:sz w:val="24"/>
          <w:szCs w:val="24"/>
          <w:lang w:eastAsia="it-IT"/>
        </w:rPr>
        <w:t xml:space="preserve">non determina nuovi o maggiori oneri per la finanza pubblica. La disposizione interviene sul regime degli adempimenti documentali richiesti ai fini dell'accesso agli incentivi, estendendo l'obbligo di attestato di prestazione energetica </w:t>
      </w:r>
      <w:proofErr w:type="gramStart"/>
      <w:r w:rsidR="007B6F99" w:rsidRPr="007B6F99">
        <w:rPr>
          <w:rFonts w:ascii="Times New Roman" w:eastAsia="Times New Roman" w:hAnsi="Times New Roman" w:cs="Times New Roman"/>
          <w:bCs/>
          <w:sz w:val="24"/>
          <w:szCs w:val="24"/>
          <w:lang w:eastAsia="it-IT"/>
        </w:rPr>
        <w:t>post intervento</w:t>
      </w:r>
      <w:proofErr w:type="gramEnd"/>
      <w:r w:rsidR="007B6F99" w:rsidRPr="007B6F99">
        <w:rPr>
          <w:rFonts w:ascii="Times New Roman" w:eastAsia="Times New Roman" w:hAnsi="Times New Roman" w:cs="Times New Roman"/>
          <w:bCs/>
          <w:sz w:val="24"/>
          <w:szCs w:val="24"/>
          <w:lang w:eastAsia="it-IT"/>
        </w:rPr>
        <w:t xml:space="preserve"> e della relativa diagnosi energetica anche agli interventi di cui all'articolo 5, comma 1, lettere b) e c), nonché correggendo un rinvio normativo interno. La modifica non comporta incrementi delle percentuali di incentivazione, variazioni delle spese ammissibili o ampliamenti della platea dei beneficiari, restando pertanto invariata la dotazione finanziaria della misura.</w:t>
      </w:r>
    </w:p>
    <w:p w14:paraId="49C58EED" w14:textId="5E0CD407" w:rsidR="00106B31" w:rsidRPr="00106B31" w:rsidRDefault="00B61E3D" w:rsidP="00106B31">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641EF4" w:rsidRPr="002D171A">
        <w:rPr>
          <w:rFonts w:ascii="Times New Roman" w:eastAsia="Times New Roman" w:hAnsi="Times New Roman" w:cs="Times New Roman"/>
          <w:bCs/>
          <w:sz w:val="24"/>
          <w:szCs w:val="24"/>
          <w:lang w:eastAsia="it-IT"/>
        </w:rPr>
        <w:t>8</w:t>
      </w:r>
      <w:r w:rsidR="00585D85"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all’articolo 17 “Cumulabilità” del D.M. 7 agosto 2025</w:t>
      </w:r>
      <w:r w:rsidR="00585D85" w:rsidRPr="002D171A">
        <w:rPr>
          <w:rFonts w:ascii="Times New Roman" w:eastAsia="Times New Roman" w:hAnsi="Times New Roman" w:cs="Times New Roman"/>
          <w:bCs/>
          <w:sz w:val="24"/>
          <w:szCs w:val="24"/>
          <w:lang w:eastAsia="it-IT"/>
        </w:rPr>
        <w:t>”</w:t>
      </w:r>
      <w:r w:rsidR="00A11B7C" w:rsidRPr="002D171A">
        <w:rPr>
          <w:rFonts w:ascii="Times New Roman" w:eastAsia="Times New Roman" w:hAnsi="Times New Roman" w:cs="Times New Roman"/>
          <w:bCs/>
          <w:sz w:val="24"/>
          <w:szCs w:val="24"/>
          <w:lang w:eastAsia="it-IT"/>
        </w:rPr>
        <w:t>,</w:t>
      </w:r>
      <w:r w:rsidR="00585D85" w:rsidRPr="002D171A">
        <w:rPr>
          <w:rFonts w:ascii="Times New Roman" w:eastAsia="Times New Roman" w:hAnsi="Times New Roman" w:cs="Times New Roman"/>
          <w:bCs/>
          <w:sz w:val="24"/>
          <w:szCs w:val="24"/>
          <w:lang w:eastAsia="it-IT"/>
        </w:rPr>
        <w:t xml:space="preserve"> non determina alcun impatto finanziario. </w:t>
      </w:r>
      <w:r w:rsidR="00106B31" w:rsidRPr="00106B31">
        <w:rPr>
          <w:rFonts w:ascii="Times New Roman" w:eastAsia="Times New Roman" w:hAnsi="Times New Roman" w:cs="Times New Roman"/>
          <w:bCs/>
          <w:sz w:val="24"/>
          <w:szCs w:val="24"/>
          <w:lang w:eastAsia="it-IT"/>
        </w:rPr>
        <w:t xml:space="preserve">La disposizione introduce modifiche di </w:t>
      </w:r>
      <w:proofErr w:type="spellStart"/>
      <w:r w:rsidR="00106B31" w:rsidRPr="00106B31">
        <w:rPr>
          <w:rFonts w:ascii="Times New Roman" w:eastAsia="Times New Roman" w:hAnsi="Times New Roman" w:cs="Times New Roman"/>
          <w:bCs/>
          <w:i/>
          <w:iCs/>
          <w:sz w:val="24"/>
          <w:szCs w:val="24"/>
          <w:lang w:eastAsia="it-IT"/>
        </w:rPr>
        <w:t>drafting</w:t>
      </w:r>
      <w:proofErr w:type="spellEnd"/>
      <w:r w:rsidR="00106B31" w:rsidRPr="00106B31">
        <w:rPr>
          <w:rFonts w:ascii="Times New Roman" w:eastAsia="Times New Roman" w:hAnsi="Times New Roman" w:cs="Times New Roman"/>
          <w:bCs/>
          <w:sz w:val="24"/>
          <w:szCs w:val="24"/>
          <w:lang w:eastAsia="it-IT"/>
        </w:rPr>
        <w:t>.</w:t>
      </w:r>
    </w:p>
    <w:p w14:paraId="5011AF21" w14:textId="77777777" w:rsidR="00CA0F25" w:rsidRDefault="00264D09" w:rsidP="00106B31">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 xml:space="preserve">L’articolo </w:t>
      </w:r>
      <w:r w:rsidR="00661F30" w:rsidRPr="002D171A">
        <w:rPr>
          <w:rFonts w:ascii="Times New Roman" w:eastAsia="Times New Roman" w:hAnsi="Times New Roman" w:cs="Times New Roman"/>
          <w:bCs/>
          <w:sz w:val="24"/>
          <w:szCs w:val="24"/>
          <w:lang w:eastAsia="it-IT"/>
        </w:rPr>
        <w:t>9</w:t>
      </w:r>
      <w:r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all’articolo 19 “Adempimenti a carico del GSE” del D.M. 7 agosto 2025</w:t>
      </w:r>
      <w:r w:rsidRPr="002D171A">
        <w:rPr>
          <w:rFonts w:ascii="Times New Roman" w:eastAsia="Times New Roman" w:hAnsi="Times New Roman" w:cs="Times New Roman"/>
          <w:bCs/>
          <w:sz w:val="24"/>
          <w:szCs w:val="24"/>
          <w:lang w:eastAsia="it-IT"/>
        </w:rPr>
        <w:t xml:space="preserve">”, non determina alcun impatto finanziario. </w:t>
      </w:r>
      <w:r w:rsidR="00CA0F25" w:rsidRPr="00CA0F25">
        <w:rPr>
          <w:rFonts w:ascii="Times New Roman" w:eastAsia="Times New Roman" w:hAnsi="Times New Roman" w:cs="Times New Roman"/>
          <w:bCs/>
          <w:sz w:val="24"/>
          <w:szCs w:val="24"/>
          <w:lang w:eastAsia="it-IT"/>
        </w:rPr>
        <w:t>La disposizione rafforza le modalità di monitoraggio dell’impegno di spesa annua cumulata mediante l’aggiornamento del relativo contatore, nell’ambito delle attività già attribuite al GSE per la gestione del meccanismo.</w:t>
      </w:r>
    </w:p>
    <w:p w14:paraId="2FE03A7D" w14:textId="77777777" w:rsidR="004F2DB6" w:rsidRDefault="004F2DB6" w:rsidP="004F2DB6">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rPr>
        <w:t>L’articolo 1</w:t>
      </w:r>
      <w:r>
        <w:rPr>
          <w:rFonts w:ascii="Times New Roman" w:eastAsia="Times New Roman" w:hAnsi="Times New Roman" w:cs="Times New Roman"/>
          <w:bCs/>
          <w:sz w:val="24"/>
          <w:szCs w:val="24"/>
        </w:rPr>
        <w:t>0</w:t>
      </w:r>
      <w:r w:rsidRPr="002D171A">
        <w:rPr>
          <w:rFonts w:ascii="Times New Roman" w:eastAsia="Times New Roman" w:hAnsi="Times New Roman" w:cs="Times New Roman"/>
          <w:bCs/>
          <w:sz w:val="24"/>
          <w:szCs w:val="24"/>
        </w:rPr>
        <w:t>, rubricato “</w:t>
      </w:r>
      <w:r w:rsidRPr="004F2DB6">
        <w:rPr>
          <w:rFonts w:ascii="Times New Roman" w:eastAsia="Times New Roman" w:hAnsi="Times New Roman" w:cs="Times New Roman"/>
          <w:bCs/>
          <w:i/>
          <w:iCs/>
          <w:sz w:val="24"/>
          <w:szCs w:val="24"/>
        </w:rPr>
        <w:t>Modifiche all’articolo 21 “Verifiche, controlli e sanzioni” del D.M. 7 agosto 2025</w:t>
      </w:r>
      <w:r w:rsidRPr="002D171A">
        <w:rPr>
          <w:rFonts w:ascii="Times New Roman" w:eastAsia="Times New Roman" w:hAnsi="Times New Roman" w:cs="Times New Roman"/>
          <w:bCs/>
          <w:sz w:val="24"/>
          <w:szCs w:val="24"/>
        </w:rPr>
        <w:t xml:space="preserve">”, </w:t>
      </w:r>
      <w:r w:rsidRPr="00CA0F25">
        <w:rPr>
          <w:rFonts w:ascii="Times New Roman" w:eastAsia="Times New Roman" w:hAnsi="Times New Roman" w:cs="Times New Roman"/>
          <w:bCs/>
          <w:sz w:val="24"/>
          <w:szCs w:val="24"/>
          <w:lang w:eastAsia="it-IT"/>
        </w:rPr>
        <w:t xml:space="preserve">non determina nuovi o maggiori oneri, in quanto </w:t>
      </w:r>
      <w:r w:rsidRPr="004F2DB6">
        <w:rPr>
          <w:rFonts w:ascii="Times New Roman" w:eastAsia="Times New Roman" w:hAnsi="Times New Roman" w:cs="Times New Roman"/>
          <w:bCs/>
          <w:sz w:val="24"/>
          <w:szCs w:val="24"/>
          <w:lang w:eastAsia="it-IT"/>
        </w:rPr>
        <w:t>integra la disciplina relativa al recupero degli incentivi indebitamente percepiti nei casi di accesso al meccanismo mediante mandato all’incasso.</w:t>
      </w:r>
    </w:p>
    <w:p w14:paraId="7A50B70C" w14:textId="08FE086F" w:rsidR="00CA0F25" w:rsidRDefault="00A11B7C" w:rsidP="00CA0F25">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L’articolo 1</w:t>
      </w:r>
      <w:r w:rsidR="004F2DB6">
        <w:rPr>
          <w:rFonts w:ascii="Times New Roman" w:eastAsia="Times New Roman" w:hAnsi="Times New Roman" w:cs="Times New Roman"/>
          <w:bCs/>
          <w:sz w:val="24"/>
          <w:szCs w:val="24"/>
          <w:lang w:eastAsia="it-IT"/>
        </w:rPr>
        <w:t>1</w:t>
      </w:r>
      <w:r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 Titolo V del D.M. 7 agosto 2025</w:t>
      </w:r>
      <w:r w:rsidRPr="002D171A">
        <w:rPr>
          <w:rFonts w:ascii="Times New Roman" w:eastAsia="Times New Roman" w:hAnsi="Times New Roman" w:cs="Times New Roman"/>
          <w:bCs/>
          <w:sz w:val="24"/>
          <w:szCs w:val="24"/>
          <w:lang w:eastAsia="it-IT"/>
        </w:rPr>
        <w:t xml:space="preserve">”, </w:t>
      </w:r>
      <w:r w:rsidR="00CA0F25" w:rsidRPr="00CA0F25">
        <w:rPr>
          <w:rFonts w:ascii="Times New Roman" w:eastAsia="Times New Roman" w:hAnsi="Times New Roman" w:cs="Times New Roman"/>
          <w:bCs/>
          <w:sz w:val="24"/>
          <w:szCs w:val="24"/>
          <w:lang w:eastAsia="it-IT"/>
        </w:rPr>
        <w:t>non determina nuovi o maggiori oneri, limitandosi a modificare la denominazione del Titolo V</w:t>
      </w:r>
      <w:r w:rsidR="00CA0F25">
        <w:rPr>
          <w:rFonts w:ascii="Times New Roman" w:eastAsia="Times New Roman" w:hAnsi="Times New Roman" w:cs="Times New Roman"/>
          <w:bCs/>
          <w:sz w:val="24"/>
          <w:szCs w:val="24"/>
          <w:lang w:eastAsia="it-IT"/>
        </w:rPr>
        <w:t>.</w:t>
      </w:r>
    </w:p>
    <w:p w14:paraId="03F73DF7" w14:textId="6F5D0EE3" w:rsidR="00CA0F25" w:rsidRDefault="00A11B7C" w:rsidP="00CA0F25">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rPr>
        <w:t>L’articolo 1</w:t>
      </w:r>
      <w:r w:rsidR="004F2DB6">
        <w:rPr>
          <w:rFonts w:ascii="Times New Roman" w:eastAsia="Times New Roman" w:hAnsi="Times New Roman" w:cs="Times New Roman"/>
          <w:bCs/>
          <w:sz w:val="24"/>
          <w:szCs w:val="24"/>
        </w:rPr>
        <w:t>2</w:t>
      </w:r>
      <w:r w:rsidRPr="002D171A">
        <w:rPr>
          <w:rFonts w:ascii="Times New Roman" w:eastAsia="Times New Roman" w:hAnsi="Times New Roman" w:cs="Times New Roman"/>
          <w:bCs/>
          <w:sz w:val="24"/>
          <w:szCs w:val="24"/>
        </w:rPr>
        <w:t>, rubricato “</w:t>
      </w:r>
      <w:r w:rsidR="00CD1D95" w:rsidRPr="00CD1D95">
        <w:rPr>
          <w:rFonts w:ascii="Times New Roman" w:eastAsia="Times New Roman" w:hAnsi="Times New Roman" w:cs="Times New Roman"/>
          <w:bCs/>
          <w:i/>
          <w:iCs/>
          <w:sz w:val="24"/>
          <w:szCs w:val="24"/>
        </w:rPr>
        <w:t>Modifiche all’articolo 24 “Ambito di applicazione ed esclusioni” del D.M. 7 agosto 2025</w:t>
      </w:r>
      <w:r w:rsidRPr="002D171A">
        <w:rPr>
          <w:rFonts w:ascii="Times New Roman" w:eastAsia="Times New Roman" w:hAnsi="Times New Roman" w:cs="Times New Roman"/>
          <w:bCs/>
          <w:sz w:val="24"/>
          <w:szCs w:val="24"/>
        </w:rPr>
        <w:t xml:space="preserve">”, </w:t>
      </w:r>
      <w:r w:rsidR="00CA0F25" w:rsidRPr="00CA0F25">
        <w:rPr>
          <w:rFonts w:ascii="Times New Roman" w:eastAsia="Times New Roman" w:hAnsi="Times New Roman" w:cs="Times New Roman"/>
          <w:bCs/>
          <w:sz w:val="24"/>
          <w:szCs w:val="24"/>
          <w:lang w:eastAsia="it-IT"/>
        </w:rPr>
        <w:t>non determina nuovi o maggiori oneri, in quanto reca modifiche di coordinamento testuale e sistematico della disciplina applicabile alle imprese.</w:t>
      </w:r>
    </w:p>
    <w:p w14:paraId="0EEDE53C" w14:textId="09C614A1" w:rsidR="00420A10" w:rsidRPr="002D171A" w:rsidRDefault="00A11B7C" w:rsidP="00CA0F25">
      <w:pPr>
        <w:spacing w:line="256" w:lineRule="auto"/>
        <w:ind w:firstLine="708"/>
        <w:jc w:val="both"/>
        <w:rPr>
          <w:rFonts w:ascii="Times New Roman" w:eastAsia="Times New Roman" w:hAnsi="Times New Roman" w:cs="Times New Roman"/>
          <w:bCs/>
          <w:i/>
          <w:iCs/>
          <w:sz w:val="24"/>
          <w:szCs w:val="24"/>
        </w:rPr>
      </w:pPr>
      <w:r w:rsidRPr="002D171A">
        <w:rPr>
          <w:rFonts w:ascii="Times New Roman" w:eastAsia="Times New Roman" w:hAnsi="Times New Roman" w:cs="Times New Roman"/>
          <w:bCs/>
          <w:sz w:val="24"/>
          <w:szCs w:val="24"/>
        </w:rPr>
        <w:t>L’articolo 1</w:t>
      </w:r>
      <w:r w:rsidR="004F2DB6">
        <w:rPr>
          <w:rFonts w:ascii="Times New Roman" w:eastAsia="Times New Roman" w:hAnsi="Times New Roman" w:cs="Times New Roman"/>
          <w:bCs/>
          <w:sz w:val="24"/>
          <w:szCs w:val="24"/>
        </w:rPr>
        <w:t>3</w:t>
      </w:r>
      <w:r w:rsidRPr="002D171A">
        <w:rPr>
          <w:rFonts w:ascii="Times New Roman" w:eastAsia="Times New Roman" w:hAnsi="Times New Roman" w:cs="Times New Roman"/>
          <w:bCs/>
          <w:sz w:val="24"/>
          <w:szCs w:val="24"/>
        </w:rPr>
        <w:t>, rubricato “</w:t>
      </w:r>
      <w:r w:rsidR="00CD1D95" w:rsidRPr="00CD1D95">
        <w:rPr>
          <w:rFonts w:ascii="Times New Roman" w:eastAsia="Times New Roman" w:hAnsi="Times New Roman" w:cs="Times New Roman"/>
          <w:bCs/>
          <w:i/>
          <w:iCs/>
          <w:sz w:val="24"/>
          <w:szCs w:val="24"/>
        </w:rPr>
        <w:t>Modifiche all’Allegato 1 “Criteri di ammissibilità degli interventi” del D.M. 7 agosto 2025</w:t>
      </w:r>
      <w:r w:rsidRPr="002D171A">
        <w:rPr>
          <w:rFonts w:ascii="Times New Roman" w:eastAsia="Times New Roman" w:hAnsi="Times New Roman" w:cs="Times New Roman"/>
          <w:bCs/>
          <w:sz w:val="24"/>
          <w:szCs w:val="24"/>
        </w:rPr>
        <w:t xml:space="preserve">”, </w:t>
      </w:r>
      <w:r w:rsidR="001C0E88" w:rsidRPr="002D171A">
        <w:rPr>
          <w:rFonts w:ascii="Times New Roman" w:eastAsia="Times New Roman" w:hAnsi="Times New Roman" w:cs="Times New Roman"/>
          <w:bCs/>
          <w:sz w:val="24"/>
          <w:szCs w:val="24"/>
          <w:lang w:eastAsia="it-IT"/>
        </w:rPr>
        <w:t>non determina alcun impatto finanziario</w:t>
      </w:r>
      <w:r w:rsidR="001C0E88">
        <w:rPr>
          <w:rFonts w:ascii="Times New Roman" w:eastAsia="Times New Roman" w:hAnsi="Times New Roman" w:cs="Times New Roman"/>
          <w:bCs/>
          <w:sz w:val="24"/>
          <w:szCs w:val="24"/>
          <w:lang w:eastAsia="it-IT"/>
        </w:rPr>
        <w:t>, inquanto l</w:t>
      </w:r>
      <w:r w:rsidR="001C0E88" w:rsidRPr="00106B31">
        <w:rPr>
          <w:rFonts w:ascii="Times New Roman" w:eastAsia="Times New Roman" w:hAnsi="Times New Roman" w:cs="Times New Roman"/>
          <w:bCs/>
          <w:sz w:val="24"/>
          <w:szCs w:val="24"/>
          <w:lang w:eastAsia="it-IT"/>
        </w:rPr>
        <w:t>e modifiche sono effettuate nel rispetto dei limiti di spesa vigenti</w:t>
      </w:r>
      <w:r w:rsidR="001C0E88" w:rsidRPr="002D171A">
        <w:rPr>
          <w:rFonts w:ascii="Times New Roman" w:eastAsia="Times New Roman" w:hAnsi="Times New Roman" w:cs="Times New Roman"/>
          <w:bCs/>
          <w:sz w:val="24"/>
          <w:szCs w:val="24"/>
          <w:lang w:eastAsia="it-IT"/>
        </w:rPr>
        <w:t xml:space="preserve">. </w:t>
      </w:r>
      <w:r w:rsidR="001C0E88" w:rsidRPr="00106B31">
        <w:rPr>
          <w:rFonts w:ascii="Times New Roman" w:eastAsia="Times New Roman" w:hAnsi="Times New Roman" w:cs="Times New Roman"/>
          <w:bCs/>
          <w:sz w:val="24"/>
          <w:szCs w:val="24"/>
          <w:lang w:eastAsia="it-IT"/>
        </w:rPr>
        <w:t>La disposizione aggiorna i requisiti tecnici e i criteri di ammissibilità degli interventi.</w:t>
      </w:r>
    </w:p>
    <w:p w14:paraId="26F8ADC3" w14:textId="4561C290" w:rsidR="001C0E88" w:rsidRDefault="00850706" w:rsidP="001C0E88">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lang w:eastAsia="it-IT"/>
        </w:rPr>
        <w:t>L’articolo 1</w:t>
      </w:r>
      <w:r w:rsidR="004F2DB6">
        <w:rPr>
          <w:rFonts w:ascii="Times New Roman" w:eastAsia="Times New Roman" w:hAnsi="Times New Roman" w:cs="Times New Roman"/>
          <w:bCs/>
          <w:sz w:val="24"/>
          <w:szCs w:val="24"/>
          <w:lang w:eastAsia="it-IT"/>
        </w:rPr>
        <w:t>4</w:t>
      </w:r>
      <w:r w:rsidRPr="002D171A">
        <w:rPr>
          <w:rFonts w:ascii="Times New Roman" w:eastAsia="Times New Roman" w:hAnsi="Times New Roman" w:cs="Times New Roman"/>
          <w:bCs/>
          <w:sz w:val="24"/>
          <w:szCs w:val="24"/>
          <w:lang w:eastAsia="it-IT"/>
        </w:rPr>
        <w:t>, rubricato “</w:t>
      </w:r>
      <w:r w:rsidR="00CD1D95" w:rsidRPr="00CD1D95">
        <w:rPr>
          <w:rFonts w:ascii="Times New Roman" w:eastAsia="Times New Roman" w:hAnsi="Times New Roman" w:cs="Times New Roman"/>
          <w:bCs/>
          <w:i/>
          <w:iCs/>
          <w:sz w:val="24"/>
          <w:szCs w:val="24"/>
          <w:lang w:eastAsia="it-IT"/>
        </w:rPr>
        <w:t>Modifiche all’Allegato 2 “Metodologia di calcolo degli incentivi” del D.M. 7 agosto 2025</w:t>
      </w:r>
      <w:r w:rsidRPr="002D171A">
        <w:rPr>
          <w:rFonts w:ascii="Times New Roman" w:eastAsia="Times New Roman" w:hAnsi="Times New Roman" w:cs="Times New Roman"/>
          <w:bCs/>
          <w:sz w:val="24"/>
          <w:szCs w:val="24"/>
          <w:lang w:eastAsia="it-IT"/>
        </w:rPr>
        <w:t>”, non determina alcun impatto finanziario</w:t>
      </w:r>
      <w:r w:rsidR="001C0E88">
        <w:rPr>
          <w:rFonts w:ascii="Times New Roman" w:eastAsia="Times New Roman" w:hAnsi="Times New Roman" w:cs="Times New Roman"/>
          <w:bCs/>
          <w:sz w:val="24"/>
          <w:szCs w:val="24"/>
          <w:lang w:eastAsia="it-IT"/>
        </w:rPr>
        <w:t>, inquanto l</w:t>
      </w:r>
      <w:r w:rsidR="001C0E88" w:rsidRPr="00106B31">
        <w:rPr>
          <w:rFonts w:ascii="Times New Roman" w:eastAsia="Times New Roman" w:hAnsi="Times New Roman" w:cs="Times New Roman"/>
          <w:bCs/>
          <w:sz w:val="24"/>
          <w:szCs w:val="24"/>
          <w:lang w:eastAsia="it-IT"/>
        </w:rPr>
        <w:t>e modifiche sono effettuate nel rispetto dei limiti di spesa vigenti</w:t>
      </w:r>
      <w:r w:rsidRPr="002D171A">
        <w:rPr>
          <w:rFonts w:ascii="Times New Roman" w:eastAsia="Times New Roman" w:hAnsi="Times New Roman" w:cs="Times New Roman"/>
          <w:bCs/>
          <w:sz w:val="24"/>
          <w:szCs w:val="24"/>
          <w:lang w:eastAsia="it-IT"/>
        </w:rPr>
        <w:t xml:space="preserve">. </w:t>
      </w:r>
      <w:r w:rsidR="001C0E88" w:rsidRPr="001C0E88">
        <w:rPr>
          <w:rFonts w:ascii="Times New Roman" w:eastAsia="Times New Roman" w:hAnsi="Times New Roman" w:cs="Times New Roman"/>
          <w:bCs/>
          <w:sz w:val="24"/>
          <w:szCs w:val="24"/>
          <w:lang w:eastAsia="it-IT"/>
        </w:rPr>
        <w:t>La disposizione aggiorna la metodologia di calcolo degli incentivi, in</w:t>
      </w:r>
      <w:r w:rsidR="001C0E88">
        <w:rPr>
          <w:rFonts w:ascii="Times New Roman" w:eastAsia="Times New Roman" w:hAnsi="Times New Roman" w:cs="Times New Roman"/>
          <w:bCs/>
          <w:sz w:val="24"/>
          <w:szCs w:val="24"/>
          <w:lang w:eastAsia="it-IT"/>
        </w:rPr>
        <w:t>cidendo</w:t>
      </w:r>
      <w:r w:rsidR="001C0E88" w:rsidRPr="001C0E88">
        <w:rPr>
          <w:rFonts w:ascii="Times New Roman" w:eastAsia="Times New Roman" w:hAnsi="Times New Roman" w:cs="Times New Roman"/>
          <w:bCs/>
          <w:sz w:val="24"/>
          <w:szCs w:val="24"/>
          <w:lang w:eastAsia="it-IT"/>
        </w:rPr>
        <w:t xml:space="preserve"> esclusivamente sulle modalità di determinazione dell’incentivo nell’ambito delle risorse già stanziate.</w:t>
      </w:r>
    </w:p>
    <w:p w14:paraId="00C208FC" w14:textId="79BB311E" w:rsidR="001C0E88" w:rsidRDefault="00AE414E" w:rsidP="001C0E88">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rPr>
        <w:lastRenderedPageBreak/>
        <w:t>L’articolo 1</w:t>
      </w:r>
      <w:r w:rsidR="004F2DB6">
        <w:rPr>
          <w:rFonts w:ascii="Times New Roman" w:eastAsia="Times New Roman" w:hAnsi="Times New Roman" w:cs="Times New Roman"/>
          <w:bCs/>
          <w:sz w:val="24"/>
          <w:szCs w:val="24"/>
        </w:rPr>
        <w:t>5</w:t>
      </w:r>
      <w:r w:rsidRPr="002D171A">
        <w:rPr>
          <w:rFonts w:ascii="Times New Roman" w:eastAsia="Times New Roman" w:hAnsi="Times New Roman" w:cs="Times New Roman"/>
          <w:bCs/>
          <w:sz w:val="24"/>
          <w:szCs w:val="24"/>
        </w:rPr>
        <w:t>, rubricato “</w:t>
      </w:r>
      <w:r w:rsidR="00CD1D95" w:rsidRPr="00CD1D95">
        <w:rPr>
          <w:rFonts w:ascii="Times New Roman" w:eastAsia="Times New Roman" w:hAnsi="Times New Roman" w:cs="Times New Roman"/>
          <w:bCs/>
          <w:i/>
          <w:iCs/>
          <w:sz w:val="24"/>
          <w:szCs w:val="24"/>
        </w:rPr>
        <w:t>Disposizioni transitorie per le amministrazioni pubbliche e per le imprese</w:t>
      </w:r>
      <w:r w:rsidRPr="002D171A">
        <w:rPr>
          <w:rFonts w:ascii="Times New Roman" w:eastAsia="Times New Roman" w:hAnsi="Times New Roman" w:cs="Times New Roman"/>
          <w:bCs/>
          <w:sz w:val="24"/>
          <w:szCs w:val="24"/>
        </w:rPr>
        <w:t xml:space="preserve">”, </w:t>
      </w:r>
      <w:r w:rsidRPr="002D171A">
        <w:rPr>
          <w:rFonts w:ascii="Times New Roman" w:eastAsia="Times New Roman" w:hAnsi="Times New Roman" w:cs="Times New Roman"/>
          <w:bCs/>
          <w:sz w:val="24"/>
          <w:szCs w:val="24"/>
          <w:lang w:eastAsia="it-IT"/>
        </w:rPr>
        <w:t xml:space="preserve">non determina alcun impatto finanziario. </w:t>
      </w:r>
      <w:r w:rsidR="001C0E88" w:rsidRPr="001C0E88">
        <w:rPr>
          <w:rFonts w:ascii="Times New Roman" w:eastAsia="Times New Roman" w:hAnsi="Times New Roman" w:cs="Times New Roman"/>
          <w:bCs/>
          <w:sz w:val="24"/>
          <w:szCs w:val="24"/>
          <w:lang w:eastAsia="it-IT"/>
        </w:rPr>
        <w:t>La disposizione disciplina il regime transitorio, al fine di garantire la continuità operativa del meccanismo.</w:t>
      </w:r>
    </w:p>
    <w:p w14:paraId="2C4D83F5" w14:textId="5E557FCF" w:rsidR="00CE3664" w:rsidRDefault="00CE3664" w:rsidP="00CE3664">
      <w:pPr>
        <w:spacing w:line="256" w:lineRule="auto"/>
        <w:ind w:firstLine="708"/>
        <w:jc w:val="both"/>
        <w:rPr>
          <w:rFonts w:ascii="Times New Roman" w:eastAsia="Times New Roman" w:hAnsi="Times New Roman" w:cs="Times New Roman"/>
          <w:bCs/>
          <w:sz w:val="24"/>
          <w:szCs w:val="24"/>
          <w:lang w:eastAsia="it-IT"/>
        </w:rPr>
      </w:pPr>
      <w:r w:rsidRPr="002D171A">
        <w:rPr>
          <w:rFonts w:ascii="Times New Roman" w:eastAsia="Times New Roman" w:hAnsi="Times New Roman" w:cs="Times New Roman"/>
          <w:bCs/>
          <w:sz w:val="24"/>
          <w:szCs w:val="24"/>
        </w:rPr>
        <w:t>L’articolo 1</w:t>
      </w:r>
      <w:r w:rsidR="004F2DB6">
        <w:rPr>
          <w:rFonts w:ascii="Times New Roman" w:eastAsia="Times New Roman" w:hAnsi="Times New Roman" w:cs="Times New Roman"/>
          <w:bCs/>
          <w:sz w:val="24"/>
          <w:szCs w:val="24"/>
        </w:rPr>
        <w:t>6</w:t>
      </w:r>
      <w:r w:rsidRPr="002D171A">
        <w:rPr>
          <w:rFonts w:ascii="Times New Roman" w:eastAsia="Times New Roman" w:hAnsi="Times New Roman" w:cs="Times New Roman"/>
          <w:bCs/>
          <w:sz w:val="24"/>
          <w:szCs w:val="24"/>
        </w:rPr>
        <w:t>, rubricato “</w:t>
      </w:r>
      <w:r>
        <w:rPr>
          <w:rFonts w:ascii="Times New Roman" w:eastAsia="Times New Roman" w:hAnsi="Times New Roman" w:cs="Times New Roman"/>
          <w:bCs/>
          <w:i/>
          <w:iCs/>
          <w:sz w:val="24"/>
          <w:szCs w:val="24"/>
        </w:rPr>
        <w:t>Entrata in vigore</w:t>
      </w:r>
      <w:r w:rsidRPr="002D171A">
        <w:rPr>
          <w:rFonts w:ascii="Times New Roman" w:eastAsia="Times New Roman" w:hAnsi="Times New Roman" w:cs="Times New Roman"/>
          <w:bCs/>
          <w:sz w:val="24"/>
          <w:szCs w:val="24"/>
        </w:rPr>
        <w:t xml:space="preserve">”, </w:t>
      </w:r>
      <w:r w:rsidRPr="002D171A">
        <w:rPr>
          <w:rFonts w:ascii="Times New Roman" w:eastAsia="Times New Roman" w:hAnsi="Times New Roman" w:cs="Times New Roman"/>
          <w:bCs/>
          <w:sz w:val="24"/>
          <w:szCs w:val="24"/>
          <w:lang w:eastAsia="it-IT"/>
        </w:rPr>
        <w:t xml:space="preserve">non determina alcun impatto finanziario. </w:t>
      </w:r>
    </w:p>
    <w:p w14:paraId="2772485E" w14:textId="77777777" w:rsidR="00CE3664" w:rsidRPr="001C0E88" w:rsidRDefault="00CE3664" w:rsidP="001C0E88">
      <w:pPr>
        <w:spacing w:line="256" w:lineRule="auto"/>
        <w:ind w:firstLine="708"/>
        <w:jc w:val="both"/>
        <w:rPr>
          <w:rFonts w:ascii="Times New Roman" w:eastAsia="Times New Roman" w:hAnsi="Times New Roman" w:cs="Times New Roman"/>
          <w:bCs/>
          <w:sz w:val="24"/>
          <w:szCs w:val="24"/>
          <w:lang w:eastAsia="it-IT"/>
        </w:rPr>
      </w:pPr>
    </w:p>
    <w:p w14:paraId="4B90276D" w14:textId="2EDF69D0" w:rsidR="00850706" w:rsidRPr="002D171A" w:rsidRDefault="00850706" w:rsidP="001C0E88">
      <w:pPr>
        <w:spacing w:line="256" w:lineRule="auto"/>
        <w:ind w:firstLine="708"/>
        <w:jc w:val="both"/>
        <w:rPr>
          <w:rFonts w:ascii="Times New Roman" w:eastAsia="Times New Roman" w:hAnsi="Times New Roman" w:cs="Times New Roman"/>
          <w:bCs/>
          <w:i/>
          <w:iCs/>
          <w:sz w:val="24"/>
          <w:szCs w:val="24"/>
        </w:rPr>
      </w:pPr>
    </w:p>
    <w:sectPr w:rsidR="00850706" w:rsidRPr="002D171A">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C403" w14:textId="77777777" w:rsidR="00170084" w:rsidRDefault="00170084" w:rsidP="00BF2D02">
      <w:pPr>
        <w:spacing w:after="0" w:line="240" w:lineRule="auto"/>
      </w:pPr>
      <w:r>
        <w:separator/>
      </w:r>
    </w:p>
  </w:endnote>
  <w:endnote w:type="continuationSeparator" w:id="0">
    <w:p w14:paraId="2647798C" w14:textId="77777777" w:rsidR="00170084" w:rsidRDefault="00170084" w:rsidP="00BF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3764" w14:textId="77777777" w:rsidR="00F970DF" w:rsidRDefault="00F970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376002"/>
      <w:docPartObj>
        <w:docPartGallery w:val="Page Numbers (Bottom of Page)"/>
        <w:docPartUnique/>
      </w:docPartObj>
    </w:sdtPr>
    <w:sdtEndPr/>
    <w:sdtContent>
      <w:p w14:paraId="071949E0" w14:textId="570F5B53" w:rsidR="00BF2D02" w:rsidRDefault="00BF2D02">
        <w:pPr>
          <w:pStyle w:val="Pidipagina"/>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D70B" w14:textId="77777777" w:rsidR="00F970DF" w:rsidRDefault="00F97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217D5" w14:textId="77777777" w:rsidR="00170084" w:rsidRDefault="00170084" w:rsidP="00BF2D02">
      <w:pPr>
        <w:spacing w:after="0" w:line="240" w:lineRule="auto"/>
      </w:pPr>
      <w:r>
        <w:separator/>
      </w:r>
    </w:p>
  </w:footnote>
  <w:footnote w:type="continuationSeparator" w:id="0">
    <w:p w14:paraId="7CF579E7" w14:textId="77777777" w:rsidR="00170084" w:rsidRDefault="00170084" w:rsidP="00BF2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E765" w14:textId="77777777" w:rsidR="00F970DF" w:rsidRDefault="00F97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8BED" w14:textId="77777777" w:rsidR="00F970DF" w:rsidRDefault="00F970D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6626" w14:textId="77777777" w:rsidR="00F970DF" w:rsidRDefault="00F97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576E"/>
    <w:multiLevelType w:val="hybridMultilevel"/>
    <w:tmpl w:val="D16CDB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1854BC"/>
    <w:multiLevelType w:val="multilevel"/>
    <w:tmpl w:val="651EA5BE"/>
    <w:lvl w:ilvl="0">
      <w:start w:val="1"/>
      <w:numFmt w:val="decimal"/>
      <w:pStyle w:val="Articolato"/>
      <w:lvlText w:val="%1."/>
      <w:lvlJc w:val="left"/>
      <w:pPr>
        <w:ind w:left="1186" w:hanging="360"/>
      </w:pPr>
      <w:rPr>
        <w:rFonts w:hint="default"/>
      </w:rPr>
    </w:lvl>
    <w:lvl w:ilvl="1">
      <w:start w:val="1"/>
      <w:numFmt w:val="decimal"/>
      <w:isLgl/>
      <w:lvlText w:val="%1.%2."/>
      <w:lvlJc w:val="left"/>
      <w:pPr>
        <w:ind w:left="1186" w:hanging="360"/>
      </w:pPr>
      <w:rPr>
        <w:rFonts w:hint="default"/>
      </w:rPr>
    </w:lvl>
    <w:lvl w:ilvl="2">
      <w:start w:val="1"/>
      <w:numFmt w:val="decimal"/>
      <w:isLgl/>
      <w:lvlText w:val="%1.%2.%3."/>
      <w:lvlJc w:val="left"/>
      <w:pPr>
        <w:ind w:left="1546" w:hanging="720"/>
      </w:pPr>
      <w:rPr>
        <w:rFonts w:hint="default"/>
      </w:rPr>
    </w:lvl>
    <w:lvl w:ilvl="3">
      <w:start w:val="1"/>
      <w:numFmt w:val="decimal"/>
      <w:isLgl/>
      <w:lvlText w:val="%1.%2.%3.%4."/>
      <w:lvlJc w:val="left"/>
      <w:pPr>
        <w:ind w:left="1546" w:hanging="720"/>
      </w:pPr>
      <w:rPr>
        <w:rFonts w:hint="default"/>
      </w:rPr>
    </w:lvl>
    <w:lvl w:ilvl="4">
      <w:start w:val="1"/>
      <w:numFmt w:val="decimal"/>
      <w:isLgl/>
      <w:lvlText w:val="%1.%2.%3.%4.%5."/>
      <w:lvlJc w:val="left"/>
      <w:pPr>
        <w:ind w:left="1906" w:hanging="1080"/>
      </w:pPr>
      <w:rPr>
        <w:rFonts w:hint="default"/>
      </w:rPr>
    </w:lvl>
    <w:lvl w:ilvl="5">
      <w:start w:val="1"/>
      <w:numFmt w:val="decimal"/>
      <w:isLgl/>
      <w:lvlText w:val="%1.%2.%3.%4.%5.%6."/>
      <w:lvlJc w:val="left"/>
      <w:pPr>
        <w:ind w:left="1906" w:hanging="1080"/>
      </w:pPr>
      <w:rPr>
        <w:rFonts w:hint="default"/>
      </w:rPr>
    </w:lvl>
    <w:lvl w:ilvl="6">
      <w:start w:val="1"/>
      <w:numFmt w:val="decimal"/>
      <w:isLgl/>
      <w:lvlText w:val="%1.%2.%3.%4.%5.%6.%7."/>
      <w:lvlJc w:val="left"/>
      <w:pPr>
        <w:ind w:left="2266" w:hanging="1440"/>
      </w:pPr>
      <w:rPr>
        <w:rFonts w:hint="default"/>
      </w:rPr>
    </w:lvl>
    <w:lvl w:ilvl="7">
      <w:start w:val="1"/>
      <w:numFmt w:val="decimal"/>
      <w:isLgl/>
      <w:lvlText w:val="%1.%2.%3.%4.%5.%6.%7.%8."/>
      <w:lvlJc w:val="left"/>
      <w:pPr>
        <w:ind w:left="2266" w:hanging="1440"/>
      </w:pPr>
      <w:rPr>
        <w:rFonts w:hint="default"/>
      </w:rPr>
    </w:lvl>
    <w:lvl w:ilvl="8">
      <w:start w:val="1"/>
      <w:numFmt w:val="decimal"/>
      <w:isLgl/>
      <w:lvlText w:val="%1.%2.%3.%4.%5.%6.%7.%8.%9."/>
      <w:lvlJc w:val="left"/>
      <w:pPr>
        <w:ind w:left="2626" w:hanging="1800"/>
      </w:pPr>
      <w:rPr>
        <w:rFonts w:hint="default"/>
      </w:rPr>
    </w:lvl>
  </w:abstractNum>
  <w:abstractNum w:abstractNumId="2" w15:restartNumberingAfterBreak="0">
    <w:nsid w:val="4E0B4439"/>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57AD4544"/>
    <w:multiLevelType w:val="hybridMultilevel"/>
    <w:tmpl w:val="129C418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AD269A0"/>
    <w:multiLevelType w:val="hybridMultilevel"/>
    <w:tmpl w:val="BC06D9D0"/>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5" w15:restartNumberingAfterBreak="0">
    <w:nsid w:val="684F5B19"/>
    <w:multiLevelType w:val="hybridMultilevel"/>
    <w:tmpl w:val="11AC78DC"/>
    <w:lvl w:ilvl="0" w:tplc="5D363D9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7683535"/>
    <w:multiLevelType w:val="hybridMultilevel"/>
    <w:tmpl w:val="5054F672"/>
    <w:lvl w:ilvl="0" w:tplc="02A61120">
      <w:start w:val="5"/>
      <w:numFmt w:val="decimal"/>
      <w:lvlText w:val="%1."/>
      <w:lvlJc w:val="left"/>
      <w:pPr>
        <w:ind w:left="760" w:hanging="360"/>
      </w:pPr>
      <w:rPr>
        <w:rFonts w:hint="default"/>
      </w:rPr>
    </w:lvl>
    <w:lvl w:ilvl="1" w:tplc="04100017">
      <w:start w:val="1"/>
      <w:numFmt w:val="lowerLetter"/>
      <w:lvlText w:val="%2)"/>
      <w:lvlJc w:val="left"/>
      <w:pPr>
        <w:ind w:left="1480" w:hanging="360"/>
      </w:pPr>
    </w:lvl>
    <w:lvl w:ilvl="2" w:tplc="0410001B" w:tentative="1">
      <w:start w:val="1"/>
      <w:numFmt w:val="lowerRoman"/>
      <w:lvlText w:val="%3."/>
      <w:lvlJc w:val="right"/>
      <w:pPr>
        <w:ind w:left="2200" w:hanging="180"/>
      </w:pPr>
    </w:lvl>
    <w:lvl w:ilvl="3" w:tplc="0410000F" w:tentative="1">
      <w:start w:val="1"/>
      <w:numFmt w:val="decimal"/>
      <w:lvlText w:val="%4."/>
      <w:lvlJc w:val="left"/>
      <w:pPr>
        <w:ind w:left="2920" w:hanging="360"/>
      </w:pPr>
    </w:lvl>
    <w:lvl w:ilvl="4" w:tplc="04100019" w:tentative="1">
      <w:start w:val="1"/>
      <w:numFmt w:val="lowerLetter"/>
      <w:lvlText w:val="%5."/>
      <w:lvlJc w:val="left"/>
      <w:pPr>
        <w:ind w:left="3640" w:hanging="360"/>
      </w:pPr>
    </w:lvl>
    <w:lvl w:ilvl="5" w:tplc="0410001B" w:tentative="1">
      <w:start w:val="1"/>
      <w:numFmt w:val="lowerRoman"/>
      <w:lvlText w:val="%6."/>
      <w:lvlJc w:val="right"/>
      <w:pPr>
        <w:ind w:left="4360" w:hanging="180"/>
      </w:pPr>
    </w:lvl>
    <w:lvl w:ilvl="6" w:tplc="0410000F" w:tentative="1">
      <w:start w:val="1"/>
      <w:numFmt w:val="decimal"/>
      <w:lvlText w:val="%7."/>
      <w:lvlJc w:val="left"/>
      <w:pPr>
        <w:ind w:left="5080" w:hanging="360"/>
      </w:pPr>
    </w:lvl>
    <w:lvl w:ilvl="7" w:tplc="04100019" w:tentative="1">
      <w:start w:val="1"/>
      <w:numFmt w:val="lowerLetter"/>
      <w:lvlText w:val="%8."/>
      <w:lvlJc w:val="left"/>
      <w:pPr>
        <w:ind w:left="5800" w:hanging="360"/>
      </w:pPr>
    </w:lvl>
    <w:lvl w:ilvl="8" w:tplc="0410001B" w:tentative="1">
      <w:start w:val="1"/>
      <w:numFmt w:val="lowerRoman"/>
      <w:lvlText w:val="%9."/>
      <w:lvlJc w:val="right"/>
      <w:pPr>
        <w:ind w:left="6520" w:hanging="180"/>
      </w:pPr>
    </w:lvl>
  </w:abstractNum>
  <w:abstractNum w:abstractNumId="7" w15:restartNumberingAfterBreak="0">
    <w:nsid w:val="7BDD23ED"/>
    <w:multiLevelType w:val="hybridMultilevel"/>
    <w:tmpl w:val="0F9664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07512689">
    <w:abstractNumId w:val="5"/>
  </w:num>
  <w:num w:numId="2" w16cid:durableId="2091921100">
    <w:abstractNumId w:val="7"/>
  </w:num>
  <w:num w:numId="3" w16cid:durableId="1111515387">
    <w:abstractNumId w:val="1"/>
  </w:num>
  <w:num w:numId="4" w16cid:durableId="1950357558">
    <w:abstractNumId w:val="6"/>
  </w:num>
  <w:num w:numId="5" w16cid:durableId="1235505899">
    <w:abstractNumId w:val="3"/>
  </w:num>
  <w:num w:numId="6" w16cid:durableId="174153917">
    <w:abstractNumId w:val="2"/>
  </w:num>
  <w:num w:numId="7" w16cid:durableId="1380517207">
    <w:abstractNumId w:val="0"/>
  </w:num>
  <w:num w:numId="8" w16cid:durableId="884293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D4"/>
    <w:rsid w:val="00005EA3"/>
    <w:rsid w:val="00006657"/>
    <w:rsid w:val="00017D36"/>
    <w:rsid w:val="00020D9D"/>
    <w:rsid w:val="00021509"/>
    <w:rsid w:val="000261C3"/>
    <w:rsid w:val="000365C6"/>
    <w:rsid w:val="00040C41"/>
    <w:rsid w:val="000449E1"/>
    <w:rsid w:val="00053839"/>
    <w:rsid w:val="00057016"/>
    <w:rsid w:val="0008185A"/>
    <w:rsid w:val="00085518"/>
    <w:rsid w:val="000855B0"/>
    <w:rsid w:val="00085782"/>
    <w:rsid w:val="000932EE"/>
    <w:rsid w:val="000A3BC4"/>
    <w:rsid w:val="000A6F7C"/>
    <w:rsid w:val="000A7A48"/>
    <w:rsid w:val="000B3DE9"/>
    <w:rsid w:val="000B6D9E"/>
    <w:rsid w:val="000D09C0"/>
    <w:rsid w:val="000D2C7B"/>
    <w:rsid w:val="000D73C7"/>
    <w:rsid w:val="000E2786"/>
    <w:rsid w:val="000E4408"/>
    <w:rsid w:val="000F258A"/>
    <w:rsid w:val="00101662"/>
    <w:rsid w:val="00106B31"/>
    <w:rsid w:val="00113E7D"/>
    <w:rsid w:val="00115CA0"/>
    <w:rsid w:val="00124980"/>
    <w:rsid w:val="001316E4"/>
    <w:rsid w:val="00133010"/>
    <w:rsid w:val="00136412"/>
    <w:rsid w:val="0014023C"/>
    <w:rsid w:val="00140C75"/>
    <w:rsid w:val="001424BD"/>
    <w:rsid w:val="00143CCA"/>
    <w:rsid w:val="001452A6"/>
    <w:rsid w:val="001508D8"/>
    <w:rsid w:val="00152F3E"/>
    <w:rsid w:val="00166380"/>
    <w:rsid w:val="00170084"/>
    <w:rsid w:val="001705FC"/>
    <w:rsid w:val="0017098E"/>
    <w:rsid w:val="00173EF2"/>
    <w:rsid w:val="00175298"/>
    <w:rsid w:val="00187934"/>
    <w:rsid w:val="00191B19"/>
    <w:rsid w:val="00197876"/>
    <w:rsid w:val="001A46A8"/>
    <w:rsid w:val="001A4A01"/>
    <w:rsid w:val="001A5897"/>
    <w:rsid w:val="001A672E"/>
    <w:rsid w:val="001A728A"/>
    <w:rsid w:val="001C0306"/>
    <w:rsid w:val="001C0E88"/>
    <w:rsid w:val="001D1709"/>
    <w:rsid w:val="001D4BB9"/>
    <w:rsid w:val="001E2906"/>
    <w:rsid w:val="001E2B1F"/>
    <w:rsid w:val="001E6786"/>
    <w:rsid w:val="001F30B7"/>
    <w:rsid w:val="001F365D"/>
    <w:rsid w:val="002037C4"/>
    <w:rsid w:val="0020641E"/>
    <w:rsid w:val="00210439"/>
    <w:rsid w:val="002207FA"/>
    <w:rsid w:val="00232C5C"/>
    <w:rsid w:val="00235234"/>
    <w:rsid w:val="00235836"/>
    <w:rsid w:val="00242939"/>
    <w:rsid w:val="002600C4"/>
    <w:rsid w:val="00262EF6"/>
    <w:rsid w:val="00264230"/>
    <w:rsid w:val="00264D09"/>
    <w:rsid w:val="002709E7"/>
    <w:rsid w:val="00276A9B"/>
    <w:rsid w:val="00282522"/>
    <w:rsid w:val="00286D89"/>
    <w:rsid w:val="0029163B"/>
    <w:rsid w:val="0029308C"/>
    <w:rsid w:val="002A08F9"/>
    <w:rsid w:val="002A2790"/>
    <w:rsid w:val="002B04D2"/>
    <w:rsid w:val="002B2587"/>
    <w:rsid w:val="002D171A"/>
    <w:rsid w:val="002D5E9B"/>
    <w:rsid w:val="002D6A9B"/>
    <w:rsid w:val="002E6E66"/>
    <w:rsid w:val="002F3F89"/>
    <w:rsid w:val="002F7C8E"/>
    <w:rsid w:val="003007BE"/>
    <w:rsid w:val="00302A2C"/>
    <w:rsid w:val="00303108"/>
    <w:rsid w:val="0030432C"/>
    <w:rsid w:val="00312CD7"/>
    <w:rsid w:val="003159A0"/>
    <w:rsid w:val="00317B08"/>
    <w:rsid w:val="00320B9F"/>
    <w:rsid w:val="00324AC9"/>
    <w:rsid w:val="00335592"/>
    <w:rsid w:val="003452CF"/>
    <w:rsid w:val="00370303"/>
    <w:rsid w:val="003715AB"/>
    <w:rsid w:val="00372577"/>
    <w:rsid w:val="003831C3"/>
    <w:rsid w:val="00386CA0"/>
    <w:rsid w:val="00387069"/>
    <w:rsid w:val="003A21B2"/>
    <w:rsid w:val="003C43DE"/>
    <w:rsid w:val="003C6127"/>
    <w:rsid w:val="003D26EF"/>
    <w:rsid w:val="003E0614"/>
    <w:rsid w:val="003E4525"/>
    <w:rsid w:val="003E6EB7"/>
    <w:rsid w:val="003F7458"/>
    <w:rsid w:val="00414F30"/>
    <w:rsid w:val="00420A10"/>
    <w:rsid w:val="00431022"/>
    <w:rsid w:val="00436402"/>
    <w:rsid w:val="00436C16"/>
    <w:rsid w:val="00437F01"/>
    <w:rsid w:val="00441004"/>
    <w:rsid w:val="00444D00"/>
    <w:rsid w:val="00455775"/>
    <w:rsid w:val="004615F6"/>
    <w:rsid w:val="004661F3"/>
    <w:rsid w:val="00473E5A"/>
    <w:rsid w:val="00494545"/>
    <w:rsid w:val="004A14F3"/>
    <w:rsid w:val="004A21BE"/>
    <w:rsid w:val="004A404D"/>
    <w:rsid w:val="004A4109"/>
    <w:rsid w:val="004A50DD"/>
    <w:rsid w:val="004C2068"/>
    <w:rsid w:val="004E1D99"/>
    <w:rsid w:val="004E5771"/>
    <w:rsid w:val="004F12A8"/>
    <w:rsid w:val="004F2DB6"/>
    <w:rsid w:val="004F3D1D"/>
    <w:rsid w:val="004F48F1"/>
    <w:rsid w:val="00526CE6"/>
    <w:rsid w:val="005303E4"/>
    <w:rsid w:val="0053629E"/>
    <w:rsid w:val="00536D09"/>
    <w:rsid w:val="005432D3"/>
    <w:rsid w:val="005467FB"/>
    <w:rsid w:val="00551D86"/>
    <w:rsid w:val="005555A8"/>
    <w:rsid w:val="00557344"/>
    <w:rsid w:val="00557B51"/>
    <w:rsid w:val="00564E15"/>
    <w:rsid w:val="005659F9"/>
    <w:rsid w:val="00571260"/>
    <w:rsid w:val="00585959"/>
    <w:rsid w:val="00585D85"/>
    <w:rsid w:val="00586394"/>
    <w:rsid w:val="00593458"/>
    <w:rsid w:val="005A1456"/>
    <w:rsid w:val="005A7333"/>
    <w:rsid w:val="005B1FCB"/>
    <w:rsid w:val="005B24EE"/>
    <w:rsid w:val="005B2B2B"/>
    <w:rsid w:val="005B3DE5"/>
    <w:rsid w:val="005B728E"/>
    <w:rsid w:val="005B7A8F"/>
    <w:rsid w:val="005C0694"/>
    <w:rsid w:val="005C139E"/>
    <w:rsid w:val="005C14C0"/>
    <w:rsid w:val="005C172A"/>
    <w:rsid w:val="005C30EA"/>
    <w:rsid w:val="005C33EF"/>
    <w:rsid w:val="005C3A42"/>
    <w:rsid w:val="005C746C"/>
    <w:rsid w:val="005D1278"/>
    <w:rsid w:val="005E3285"/>
    <w:rsid w:val="005E532A"/>
    <w:rsid w:val="005F6784"/>
    <w:rsid w:val="00601430"/>
    <w:rsid w:val="00601601"/>
    <w:rsid w:val="00602B61"/>
    <w:rsid w:val="00602E2D"/>
    <w:rsid w:val="0060494B"/>
    <w:rsid w:val="00604C91"/>
    <w:rsid w:val="0061056A"/>
    <w:rsid w:val="00611471"/>
    <w:rsid w:val="00617EB8"/>
    <w:rsid w:val="006213CC"/>
    <w:rsid w:val="006254E2"/>
    <w:rsid w:val="00641A63"/>
    <w:rsid w:val="00641EF4"/>
    <w:rsid w:val="00643BA9"/>
    <w:rsid w:val="0065227F"/>
    <w:rsid w:val="0065530D"/>
    <w:rsid w:val="006553A1"/>
    <w:rsid w:val="006558C0"/>
    <w:rsid w:val="00657669"/>
    <w:rsid w:val="00661F30"/>
    <w:rsid w:val="0066296A"/>
    <w:rsid w:val="0066706D"/>
    <w:rsid w:val="00671E49"/>
    <w:rsid w:val="00672CD6"/>
    <w:rsid w:val="006732D8"/>
    <w:rsid w:val="00677623"/>
    <w:rsid w:val="006842B7"/>
    <w:rsid w:val="006900EE"/>
    <w:rsid w:val="006902C3"/>
    <w:rsid w:val="00692A3B"/>
    <w:rsid w:val="006979C5"/>
    <w:rsid w:val="006A35EE"/>
    <w:rsid w:val="006A4A1B"/>
    <w:rsid w:val="006B3CD9"/>
    <w:rsid w:val="006C14C1"/>
    <w:rsid w:val="006C35E8"/>
    <w:rsid w:val="006C5A80"/>
    <w:rsid w:val="006E64D4"/>
    <w:rsid w:val="006F77FF"/>
    <w:rsid w:val="00704521"/>
    <w:rsid w:val="00715DA2"/>
    <w:rsid w:val="00723BE0"/>
    <w:rsid w:val="007348D9"/>
    <w:rsid w:val="007360EE"/>
    <w:rsid w:val="00741D82"/>
    <w:rsid w:val="00743E4D"/>
    <w:rsid w:val="00747683"/>
    <w:rsid w:val="007522A2"/>
    <w:rsid w:val="00753FF0"/>
    <w:rsid w:val="00755E6B"/>
    <w:rsid w:val="00766A2E"/>
    <w:rsid w:val="00780916"/>
    <w:rsid w:val="0078453B"/>
    <w:rsid w:val="0078569B"/>
    <w:rsid w:val="007866B0"/>
    <w:rsid w:val="00794520"/>
    <w:rsid w:val="007A2847"/>
    <w:rsid w:val="007A3D1D"/>
    <w:rsid w:val="007A6690"/>
    <w:rsid w:val="007A70AC"/>
    <w:rsid w:val="007B6F99"/>
    <w:rsid w:val="007C6EF9"/>
    <w:rsid w:val="007D01FE"/>
    <w:rsid w:val="007D12DC"/>
    <w:rsid w:val="007D3073"/>
    <w:rsid w:val="007D5C4E"/>
    <w:rsid w:val="007E2400"/>
    <w:rsid w:val="007F6237"/>
    <w:rsid w:val="00822E36"/>
    <w:rsid w:val="008249C0"/>
    <w:rsid w:val="008250F9"/>
    <w:rsid w:val="0083400B"/>
    <w:rsid w:val="008377A0"/>
    <w:rsid w:val="0084306C"/>
    <w:rsid w:val="00844589"/>
    <w:rsid w:val="008470F9"/>
    <w:rsid w:val="008476EB"/>
    <w:rsid w:val="00850706"/>
    <w:rsid w:val="00870639"/>
    <w:rsid w:val="00872D40"/>
    <w:rsid w:val="00876E0C"/>
    <w:rsid w:val="00877557"/>
    <w:rsid w:val="00890919"/>
    <w:rsid w:val="008954D3"/>
    <w:rsid w:val="00897345"/>
    <w:rsid w:val="008A302C"/>
    <w:rsid w:val="008A35F1"/>
    <w:rsid w:val="008A5B88"/>
    <w:rsid w:val="008B02C7"/>
    <w:rsid w:val="008B3A21"/>
    <w:rsid w:val="008B40EA"/>
    <w:rsid w:val="008B4E66"/>
    <w:rsid w:val="008C32A8"/>
    <w:rsid w:val="008C77AE"/>
    <w:rsid w:val="008D283C"/>
    <w:rsid w:val="008D6B99"/>
    <w:rsid w:val="008E4521"/>
    <w:rsid w:val="008E6E0C"/>
    <w:rsid w:val="008E7DC2"/>
    <w:rsid w:val="008F54F7"/>
    <w:rsid w:val="0090202B"/>
    <w:rsid w:val="00907C4C"/>
    <w:rsid w:val="00911B05"/>
    <w:rsid w:val="00912014"/>
    <w:rsid w:val="00921103"/>
    <w:rsid w:val="00933BC4"/>
    <w:rsid w:val="0093639A"/>
    <w:rsid w:val="0094799A"/>
    <w:rsid w:val="009506B5"/>
    <w:rsid w:val="00951D86"/>
    <w:rsid w:val="00961E4D"/>
    <w:rsid w:val="00963F61"/>
    <w:rsid w:val="00975721"/>
    <w:rsid w:val="0097797A"/>
    <w:rsid w:val="00984D0E"/>
    <w:rsid w:val="009862EF"/>
    <w:rsid w:val="00990BFA"/>
    <w:rsid w:val="0099378A"/>
    <w:rsid w:val="00997C9D"/>
    <w:rsid w:val="009A4BB4"/>
    <w:rsid w:val="009A51B0"/>
    <w:rsid w:val="009A57B3"/>
    <w:rsid w:val="009B4461"/>
    <w:rsid w:val="009B4A38"/>
    <w:rsid w:val="009B6621"/>
    <w:rsid w:val="009C0BBD"/>
    <w:rsid w:val="009C183D"/>
    <w:rsid w:val="009C2A48"/>
    <w:rsid w:val="009C59EE"/>
    <w:rsid w:val="009D0769"/>
    <w:rsid w:val="009D5941"/>
    <w:rsid w:val="009D7F75"/>
    <w:rsid w:val="009E291B"/>
    <w:rsid w:val="009E313C"/>
    <w:rsid w:val="009E35B0"/>
    <w:rsid w:val="009E6CE9"/>
    <w:rsid w:val="009F07A6"/>
    <w:rsid w:val="009F759D"/>
    <w:rsid w:val="00A01CF1"/>
    <w:rsid w:val="00A11B7C"/>
    <w:rsid w:val="00A16538"/>
    <w:rsid w:val="00A1776D"/>
    <w:rsid w:val="00A22246"/>
    <w:rsid w:val="00A2227C"/>
    <w:rsid w:val="00A22EE8"/>
    <w:rsid w:val="00A36596"/>
    <w:rsid w:val="00A4429C"/>
    <w:rsid w:val="00A47D2A"/>
    <w:rsid w:val="00A511FA"/>
    <w:rsid w:val="00A54BF5"/>
    <w:rsid w:val="00A5515F"/>
    <w:rsid w:val="00A6341F"/>
    <w:rsid w:val="00A654D0"/>
    <w:rsid w:val="00A6582A"/>
    <w:rsid w:val="00A83083"/>
    <w:rsid w:val="00A8546D"/>
    <w:rsid w:val="00A901E4"/>
    <w:rsid w:val="00A9778D"/>
    <w:rsid w:val="00AB16CB"/>
    <w:rsid w:val="00AB48BF"/>
    <w:rsid w:val="00AC30EB"/>
    <w:rsid w:val="00AC329B"/>
    <w:rsid w:val="00AC7ED6"/>
    <w:rsid w:val="00AD0120"/>
    <w:rsid w:val="00AD4ADC"/>
    <w:rsid w:val="00AE04CF"/>
    <w:rsid w:val="00AE249D"/>
    <w:rsid w:val="00AE414E"/>
    <w:rsid w:val="00AF393F"/>
    <w:rsid w:val="00B011D5"/>
    <w:rsid w:val="00B06341"/>
    <w:rsid w:val="00B068D9"/>
    <w:rsid w:val="00B069F2"/>
    <w:rsid w:val="00B10B6F"/>
    <w:rsid w:val="00B150B2"/>
    <w:rsid w:val="00B249D2"/>
    <w:rsid w:val="00B2567E"/>
    <w:rsid w:val="00B25DC3"/>
    <w:rsid w:val="00B34A71"/>
    <w:rsid w:val="00B43E4E"/>
    <w:rsid w:val="00B46735"/>
    <w:rsid w:val="00B47199"/>
    <w:rsid w:val="00B53F29"/>
    <w:rsid w:val="00B54494"/>
    <w:rsid w:val="00B61E3D"/>
    <w:rsid w:val="00B64CD2"/>
    <w:rsid w:val="00B73585"/>
    <w:rsid w:val="00B74F3B"/>
    <w:rsid w:val="00B869A1"/>
    <w:rsid w:val="00B9055E"/>
    <w:rsid w:val="00BA13D4"/>
    <w:rsid w:val="00BA2524"/>
    <w:rsid w:val="00BA28F1"/>
    <w:rsid w:val="00BB1EAC"/>
    <w:rsid w:val="00BC4479"/>
    <w:rsid w:val="00BC6723"/>
    <w:rsid w:val="00BC7600"/>
    <w:rsid w:val="00BD537E"/>
    <w:rsid w:val="00BD5F93"/>
    <w:rsid w:val="00BD7EDD"/>
    <w:rsid w:val="00BE71DE"/>
    <w:rsid w:val="00BF2D02"/>
    <w:rsid w:val="00BF7DD5"/>
    <w:rsid w:val="00C00DE4"/>
    <w:rsid w:val="00C02318"/>
    <w:rsid w:val="00C05B34"/>
    <w:rsid w:val="00C12A4F"/>
    <w:rsid w:val="00C20AF5"/>
    <w:rsid w:val="00C2112F"/>
    <w:rsid w:val="00C3263E"/>
    <w:rsid w:val="00C33819"/>
    <w:rsid w:val="00C4527D"/>
    <w:rsid w:val="00C546B1"/>
    <w:rsid w:val="00C65424"/>
    <w:rsid w:val="00C70DA4"/>
    <w:rsid w:val="00C71B4E"/>
    <w:rsid w:val="00C8312C"/>
    <w:rsid w:val="00C83734"/>
    <w:rsid w:val="00C84590"/>
    <w:rsid w:val="00C87D65"/>
    <w:rsid w:val="00C95370"/>
    <w:rsid w:val="00CA0F25"/>
    <w:rsid w:val="00CC0236"/>
    <w:rsid w:val="00CC19CE"/>
    <w:rsid w:val="00CC4AB1"/>
    <w:rsid w:val="00CC62BD"/>
    <w:rsid w:val="00CD1D95"/>
    <w:rsid w:val="00CD52BA"/>
    <w:rsid w:val="00CE3664"/>
    <w:rsid w:val="00CE64EA"/>
    <w:rsid w:val="00CE70DD"/>
    <w:rsid w:val="00D0546A"/>
    <w:rsid w:val="00D060B6"/>
    <w:rsid w:val="00D13EA7"/>
    <w:rsid w:val="00D15976"/>
    <w:rsid w:val="00D2144D"/>
    <w:rsid w:val="00D25BE6"/>
    <w:rsid w:val="00D265B2"/>
    <w:rsid w:val="00D2763E"/>
    <w:rsid w:val="00D32978"/>
    <w:rsid w:val="00D34471"/>
    <w:rsid w:val="00D353FC"/>
    <w:rsid w:val="00D42C04"/>
    <w:rsid w:val="00D44257"/>
    <w:rsid w:val="00D4739B"/>
    <w:rsid w:val="00D54044"/>
    <w:rsid w:val="00D74976"/>
    <w:rsid w:val="00D809C9"/>
    <w:rsid w:val="00D857BB"/>
    <w:rsid w:val="00D92998"/>
    <w:rsid w:val="00DA0B99"/>
    <w:rsid w:val="00DA34D0"/>
    <w:rsid w:val="00DB0430"/>
    <w:rsid w:val="00DB4DC3"/>
    <w:rsid w:val="00DC03E1"/>
    <w:rsid w:val="00DC3E44"/>
    <w:rsid w:val="00DC6C02"/>
    <w:rsid w:val="00DD6A25"/>
    <w:rsid w:val="00DE4172"/>
    <w:rsid w:val="00DF0DCF"/>
    <w:rsid w:val="00E01BB7"/>
    <w:rsid w:val="00E030CC"/>
    <w:rsid w:val="00E03EBA"/>
    <w:rsid w:val="00E1292B"/>
    <w:rsid w:val="00E16260"/>
    <w:rsid w:val="00E23719"/>
    <w:rsid w:val="00E30191"/>
    <w:rsid w:val="00E42A45"/>
    <w:rsid w:val="00E5152D"/>
    <w:rsid w:val="00E650B7"/>
    <w:rsid w:val="00E65C9D"/>
    <w:rsid w:val="00E67FED"/>
    <w:rsid w:val="00E70F66"/>
    <w:rsid w:val="00E75EAD"/>
    <w:rsid w:val="00EB0ADF"/>
    <w:rsid w:val="00EC05E7"/>
    <w:rsid w:val="00EC329D"/>
    <w:rsid w:val="00EC3865"/>
    <w:rsid w:val="00EC6D59"/>
    <w:rsid w:val="00ED0598"/>
    <w:rsid w:val="00ED17A6"/>
    <w:rsid w:val="00ED2DF2"/>
    <w:rsid w:val="00ED2F0D"/>
    <w:rsid w:val="00ED6DE0"/>
    <w:rsid w:val="00EE5AB4"/>
    <w:rsid w:val="00EF7B4F"/>
    <w:rsid w:val="00F00240"/>
    <w:rsid w:val="00F0428B"/>
    <w:rsid w:val="00F1762C"/>
    <w:rsid w:val="00F2270C"/>
    <w:rsid w:val="00F242BB"/>
    <w:rsid w:val="00F26EB6"/>
    <w:rsid w:val="00F32E80"/>
    <w:rsid w:val="00F3396F"/>
    <w:rsid w:val="00F3539C"/>
    <w:rsid w:val="00F44577"/>
    <w:rsid w:val="00F45F09"/>
    <w:rsid w:val="00F4702D"/>
    <w:rsid w:val="00F60023"/>
    <w:rsid w:val="00F62928"/>
    <w:rsid w:val="00F83321"/>
    <w:rsid w:val="00F85A43"/>
    <w:rsid w:val="00F90F9F"/>
    <w:rsid w:val="00F94D8A"/>
    <w:rsid w:val="00F970DF"/>
    <w:rsid w:val="00FA06CF"/>
    <w:rsid w:val="00FB01BF"/>
    <w:rsid w:val="00FB3A3E"/>
    <w:rsid w:val="00FB43DB"/>
    <w:rsid w:val="00FB5C11"/>
    <w:rsid w:val="00FC2420"/>
    <w:rsid w:val="00FE74A5"/>
    <w:rsid w:val="00FF0E39"/>
    <w:rsid w:val="00FF1E46"/>
    <w:rsid w:val="00FF6841"/>
    <w:rsid w:val="03C6F822"/>
    <w:rsid w:val="0E1CD99D"/>
    <w:rsid w:val="176A0A6B"/>
    <w:rsid w:val="19E4DFB5"/>
    <w:rsid w:val="341D805A"/>
    <w:rsid w:val="35180E0D"/>
    <w:rsid w:val="412E853A"/>
    <w:rsid w:val="433194BA"/>
    <w:rsid w:val="453A15A9"/>
    <w:rsid w:val="4C5CFDE0"/>
    <w:rsid w:val="7D2987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34B7"/>
  <w15:chartTrackingRefBased/>
  <w15:docId w15:val="{AA49F9DE-3C7D-435C-A8B3-8794012D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728E"/>
    <w:pPr>
      <w:keepNext/>
      <w:keepLines/>
      <w:numPr>
        <w:numId w:val="6"/>
      </w:numPr>
      <w:spacing w:before="240" w:after="0" w:line="276" w:lineRule="auto"/>
      <w:jc w:val="both"/>
      <w:outlineLvl w:val="0"/>
    </w:pPr>
    <w:rPr>
      <w:rFonts w:ascii="Calibri" w:eastAsiaTheme="majorEastAsia" w:hAnsi="Calibri" w:cstheme="majorBidi"/>
      <w:sz w:val="32"/>
      <w:szCs w:val="32"/>
    </w:rPr>
  </w:style>
  <w:style w:type="paragraph" w:styleId="Titolo2">
    <w:name w:val="heading 2"/>
    <w:basedOn w:val="Normale"/>
    <w:next w:val="Normale"/>
    <w:link w:val="Titolo2Carattere"/>
    <w:uiPriority w:val="9"/>
    <w:unhideWhenUsed/>
    <w:qFormat/>
    <w:rsid w:val="005B728E"/>
    <w:pPr>
      <w:keepNext/>
      <w:keepLines/>
      <w:numPr>
        <w:ilvl w:val="1"/>
        <w:numId w:val="6"/>
      </w:numPr>
      <w:spacing w:before="120" w:after="120" w:line="276" w:lineRule="auto"/>
      <w:jc w:val="both"/>
      <w:outlineLvl w:val="1"/>
    </w:pPr>
    <w:rPr>
      <w:rFonts w:ascii="Calibri" w:eastAsiaTheme="majorEastAsia" w:hAnsi="Calibri" w:cstheme="majorBidi"/>
      <w:sz w:val="28"/>
      <w:szCs w:val="26"/>
    </w:rPr>
  </w:style>
  <w:style w:type="paragraph" w:styleId="Titolo3">
    <w:name w:val="heading 3"/>
    <w:basedOn w:val="Normale"/>
    <w:next w:val="Normale"/>
    <w:link w:val="Titolo3Carattere"/>
    <w:uiPriority w:val="9"/>
    <w:unhideWhenUsed/>
    <w:qFormat/>
    <w:rsid w:val="005B728E"/>
    <w:pPr>
      <w:keepNext/>
      <w:keepLines/>
      <w:numPr>
        <w:ilvl w:val="2"/>
        <w:numId w:val="6"/>
      </w:numPr>
      <w:spacing w:before="40" w:after="0" w:line="276" w:lineRule="auto"/>
      <w:jc w:val="both"/>
      <w:outlineLvl w:val="2"/>
    </w:pPr>
    <w:rPr>
      <w:rFonts w:ascii="Calibri" w:eastAsiaTheme="majorEastAsia" w:hAnsi="Calibri" w:cstheme="majorBidi"/>
      <w:sz w:val="24"/>
      <w:szCs w:val="24"/>
    </w:rPr>
  </w:style>
  <w:style w:type="paragraph" w:styleId="Titolo4">
    <w:name w:val="heading 4"/>
    <w:basedOn w:val="Normale"/>
    <w:next w:val="Normale"/>
    <w:link w:val="Titolo4Carattere"/>
    <w:uiPriority w:val="9"/>
    <w:unhideWhenUsed/>
    <w:qFormat/>
    <w:rsid w:val="005B728E"/>
    <w:pPr>
      <w:keepNext/>
      <w:keepLines/>
      <w:numPr>
        <w:ilvl w:val="3"/>
        <w:numId w:val="6"/>
      </w:numPr>
      <w:spacing w:before="40" w:after="0" w:line="276" w:lineRule="auto"/>
      <w:jc w:val="both"/>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rsid w:val="005B728E"/>
    <w:pPr>
      <w:keepNext/>
      <w:keepLines/>
      <w:numPr>
        <w:ilvl w:val="4"/>
        <w:numId w:val="6"/>
      </w:numPr>
      <w:spacing w:before="40" w:after="0" w:line="276" w:lineRule="auto"/>
      <w:jc w:val="both"/>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5B728E"/>
    <w:pPr>
      <w:keepNext/>
      <w:keepLines/>
      <w:numPr>
        <w:ilvl w:val="5"/>
        <w:numId w:val="6"/>
      </w:numPr>
      <w:spacing w:before="40" w:after="0" w:line="276" w:lineRule="auto"/>
      <w:jc w:val="both"/>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5B728E"/>
    <w:pPr>
      <w:keepNext/>
      <w:keepLines/>
      <w:numPr>
        <w:ilvl w:val="6"/>
        <w:numId w:val="6"/>
      </w:numPr>
      <w:spacing w:before="40" w:after="0" w:line="276" w:lineRule="auto"/>
      <w:jc w:val="both"/>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5B728E"/>
    <w:pPr>
      <w:keepNext/>
      <w:keepLines/>
      <w:numPr>
        <w:ilvl w:val="7"/>
        <w:numId w:val="6"/>
      </w:numPr>
      <w:spacing w:before="40" w:after="0" w:line="276" w:lineRule="auto"/>
      <w:jc w:val="both"/>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5B728E"/>
    <w:pPr>
      <w:keepNext/>
      <w:keepLines/>
      <w:numPr>
        <w:ilvl w:val="8"/>
        <w:numId w:val="6"/>
      </w:numPr>
      <w:spacing w:before="40" w:after="0" w:line="27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Toc 1.1.1,List Paragraph1"/>
    <w:basedOn w:val="Normale"/>
    <w:link w:val="ParagrafoelencoCarattere"/>
    <w:uiPriority w:val="34"/>
    <w:qFormat/>
    <w:rsid w:val="00602E2D"/>
    <w:pPr>
      <w:widowControl w:val="0"/>
      <w:spacing w:after="0" w:line="240" w:lineRule="auto"/>
      <w:ind w:left="720"/>
      <w:contextualSpacing/>
    </w:pPr>
    <w:rPr>
      <w:rFonts w:ascii="Calibri" w:eastAsia="Calibri" w:hAnsi="Calibri" w:cs="Calibri"/>
      <w:lang w:eastAsia="it-IT"/>
    </w:rPr>
  </w:style>
  <w:style w:type="character" w:styleId="Rimandocommento">
    <w:name w:val="annotation reference"/>
    <w:basedOn w:val="Carpredefinitoparagrafo"/>
    <w:uiPriority w:val="99"/>
    <w:semiHidden/>
    <w:unhideWhenUsed/>
    <w:rsid w:val="00AD0120"/>
    <w:rPr>
      <w:sz w:val="16"/>
      <w:szCs w:val="16"/>
    </w:rPr>
  </w:style>
  <w:style w:type="paragraph" w:styleId="Testocommento">
    <w:name w:val="annotation text"/>
    <w:basedOn w:val="Normale"/>
    <w:link w:val="TestocommentoCarattere"/>
    <w:uiPriority w:val="99"/>
    <w:unhideWhenUsed/>
    <w:rsid w:val="00AD012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0120"/>
    <w:rPr>
      <w:sz w:val="20"/>
      <w:szCs w:val="20"/>
    </w:rPr>
  </w:style>
  <w:style w:type="paragraph" w:styleId="Testofumetto">
    <w:name w:val="Balloon Text"/>
    <w:basedOn w:val="Normale"/>
    <w:link w:val="TestofumettoCarattere"/>
    <w:uiPriority w:val="99"/>
    <w:semiHidden/>
    <w:unhideWhenUsed/>
    <w:rsid w:val="00CC19C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19CE"/>
    <w:rPr>
      <w:rFonts w:ascii="Segoe UI" w:hAnsi="Segoe UI" w:cs="Segoe UI"/>
      <w:sz w:val="18"/>
      <w:szCs w:val="18"/>
    </w:rPr>
  </w:style>
  <w:style w:type="character" w:styleId="Collegamentoipertestuale">
    <w:name w:val="Hyperlink"/>
    <w:basedOn w:val="Carpredefinitoparagrafo"/>
    <w:uiPriority w:val="99"/>
    <w:semiHidden/>
    <w:unhideWhenUsed/>
    <w:rsid w:val="006A35EE"/>
    <w:rPr>
      <w:strike w:val="0"/>
      <w:dstrike w:val="0"/>
      <w:color w:val="1E5192"/>
      <w:u w:val="none"/>
      <w:effect w:val="none"/>
    </w:rPr>
  </w:style>
  <w:style w:type="character" w:styleId="Enfasigrassetto">
    <w:name w:val="Strong"/>
    <w:basedOn w:val="Carpredefinitoparagrafo"/>
    <w:uiPriority w:val="22"/>
    <w:qFormat/>
    <w:rsid w:val="006A35EE"/>
    <w:rPr>
      <w:b/>
      <w:bCs/>
    </w:rPr>
  </w:style>
  <w:style w:type="paragraph" w:customStyle="1" w:styleId="Articolato">
    <w:name w:val="Articolato"/>
    <w:basedOn w:val="Paragrafoelenco"/>
    <w:link w:val="ArticolatoCarattere"/>
    <w:qFormat/>
    <w:rsid w:val="00ED2DF2"/>
    <w:pPr>
      <w:widowControl/>
      <w:numPr>
        <w:numId w:val="3"/>
      </w:numPr>
      <w:spacing w:before="120" w:after="120"/>
      <w:jc w:val="both"/>
    </w:pPr>
    <w:rPr>
      <w:rFonts w:ascii="Times New Roman" w:eastAsia="Times New Roman" w:hAnsi="Times New Roman" w:cstheme="minorHAnsi"/>
      <w:color w:val="000000"/>
      <w:sz w:val="24"/>
    </w:rPr>
  </w:style>
  <w:style w:type="character" w:customStyle="1" w:styleId="ArticolatoCarattere">
    <w:name w:val="Articolato Carattere"/>
    <w:basedOn w:val="Carpredefinitoparagrafo"/>
    <w:link w:val="Articolato"/>
    <w:rsid w:val="00ED2DF2"/>
    <w:rPr>
      <w:rFonts w:ascii="Times New Roman" w:eastAsia="Times New Roman" w:hAnsi="Times New Roman" w:cstheme="minorHAnsi"/>
      <w:color w:val="000000"/>
      <w:sz w:val="24"/>
      <w:lang w:eastAsia="it-IT"/>
    </w:rPr>
  </w:style>
  <w:style w:type="paragraph" w:styleId="Revisione">
    <w:name w:val="Revision"/>
    <w:hidden/>
    <w:uiPriority w:val="99"/>
    <w:semiHidden/>
    <w:rsid w:val="00437F01"/>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20641E"/>
    <w:rPr>
      <w:b/>
      <w:bCs/>
    </w:rPr>
  </w:style>
  <w:style w:type="character" w:customStyle="1" w:styleId="SoggettocommentoCarattere">
    <w:name w:val="Soggetto commento Carattere"/>
    <w:basedOn w:val="TestocommentoCarattere"/>
    <w:link w:val="Soggettocommento"/>
    <w:uiPriority w:val="99"/>
    <w:semiHidden/>
    <w:rsid w:val="0020641E"/>
    <w:rPr>
      <w:b/>
      <w:bCs/>
      <w:sz w:val="20"/>
      <w:szCs w:val="20"/>
    </w:rPr>
  </w:style>
  <w:style w:type="character" w:customStyle="1" w:styleId="Titolo1Carattere">
    <w:name w:val="Titolo 1 Carattere"/>
    <w:basedOn w:val="Carpredefinitoparagrafo"/>
    <w:link w:val="Titolo1"/>
    <w:uiPriority w:val="9"/>
    <w:rsid w:val="005B728E"/>
    <w:rPr>
      <w:rFonts w:ascii="Calibri" w:eastAsiaTheme="majorEastAsia" w:hAnsi="Calibri" w:cstheme="majorBidi"/>
      <w:sz w:val="32"/>
      <w:szCs w:val="32"/>
    </w:rPr>
  </w:style>
  <w:style w:type="character" w:customStyle="1" w:styleId="Titolo2Carattere">
    <w:name w:val="Titolo 2 Carattere"/>
    <w:basedOn w:val="Carpredefinitoparagrafo"/>
    <w:link w:val="Titolo2"/>
    <w:uiPriority w:val="9"/>
    <w:rsid w:val="005B728E"/>
    <w:rPr>
      <w:rFonts w:ascii="Calibri" w:eastAsiaTheme="majorEastAsia" w:hAnsi="Calibri" w:cstheme="majorBidi"/>
      <w:sz w:val="28"/>
      <w:szCs w:val="26"/>
    </w:rPr>
  </w:style>
  <w:style w:type="character" w:customStyle="1" w:styleId="Titolo3Carattere">
    <w:name w:val="Titolo 3 Carattere"/>
    <w:basedOn w:val="Carpredefinitoparagrafo"/>
    <w:link w:val="Titolo3"/>
    <w:uiPriority w:val="9"/>
    <w:rsid w:val="005B728E"/>
    <w:rPr>
      <w:rFonts w:ascii="Calibri" w:eastAsiaTheme="majorEastAsia" w:hAnsi="Calibri" w:cstheme="majorBidi"/>
      <w:sz w:val="24"/>
      <w:szCs w:val="24"/>
    </w:rPr>
  </w:style>
  <w:style w:type="character" w:customStyle="1" w:styleId="Titolo4Carattere">
    <w:name w:val="Titolo 4 Carattere"/>
    <w:basedOn w:val="Carpredefinitoparagrafo"/>
    <w:link w:val="Titolo4"/>
    <w:uiPriority w:val="9"/>
    <w:rsid w:val="005B728E"/>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rsid w:val="005B728E"/>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uiPriority w:val="9"/>
    <w:semiHidden/>
    <w:rsid w:val="005B728E"/>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uiPriority w:val="9"/>
    <w:semiHidden/>
    <w:rsid w:val="005B728E"/>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uiPriority w:val="9"/>
    <w:semiHidden/>
    <w:rsid w:val="005B728E"/>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728E"/>
    <w:rPr>
      <w:rFonts w:asciiTheme="majorHAnsi" w:eastAsiaTheme="majorEastAsia" w:hAnsiTheme="majorHAnsi" w:cstheme="majorBidi"/>
      <w:i/>
      <w:iCs/>
      <w:color w:val="272727" w:themeColor="text1" w:themeTint="D8"/>
      <w:sz w:val="21"/>
      <w:szCs w:val="21"/>
    </w:r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link w:val="Paragrafoelenco"/>
    <w:uiPriority w:val="34"/>
    <w:qFormat/>
    <w:locked/>
    <w:rsid w:val="005B728E"/>
    <w:rPr>
      <w:rFonts w:ascii="Calibri" w:eastAsia="Calibri" w:hAnsi="Calibri" w:cs="Calibri"/>
      <w:lang w:eastAsia="it-IT"/>
    </w:rPr>
  </w:style>
  <w:style w:type="paragraph" w:styleId="Didascalia">
    <w:name w:val="caption"/>
    <w:basedOn w:val="Normale"/>
    <w:next w:val="Normale"/>
    <w:uiPriority w:val="35"/>
    <w:unhideWhenUsed/>
    <w:qFormat/>
    <w:rsid w:val="0078569B"/>
    <w:pPr>
      <w:spacing w:after="200" w:line="240" w:lineRule="auto"/>
    </w:pPr>
    <w:rPr>
      <w:i/>
      <w:iCs/>
      <w:color w:val="44546A" w:themeColor="text2"/>
      <w:sz w:val="18"/>
      <w:szCs w:val="18"/>
    </w:rPr>
  </w:style>
  <w:style w:type="paragraph" w:styleId="Intestazione">
    <w:name w:val="header"/>
    <w:basedOn w:val="Normale"/>
    <w:link w:val="IntestazioneCarattere"/>
    <w:uiPriority w:val="99"/>
    <w:unhideWhenUsed/>
    <w:rsid w:val="00BF2D0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2D02"/>
  </w:style>
  <w:style w:type="paragraph" w:styleId="Pidipagina">
    <w:name w:val="footer"/>
    <w:basedOn w:val="Normale"/>
    <w:link w:val="PidipaginaCarattere"/>
    <w:uiPriority w:val="99"/>
    <w:unhideWhenUsed/>
    <w:rsid w:val="00BF2D0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2D02"/>
  </w:style>
  <w:style w:type="paragraph" w:customStyle="1" w:styleId="Normale1">
    <w:name w:val="Normale1"/>
    <w:basedOn w:val="Normale"/>
    <w:pPr>
      <w:spacing w:line="256" w:lineRule="auto"/>
    </w:pPr>
    <w:rPr>
      <w:rFonts w:ascii="Calibri" w:hAnsi="Calibri" w:cs="Calibri"/>
      <w:kern w:val="2"/>
      <w:lang w:eastAsia="it-IT"/>
      <w14:ligatures w14:val="standardContextual"/>
    </w:rPr>
  </w:style>
  <w:style w:type="paragraph" w:customStyle="1" w:styleId="Normal">
    <w:name w:val="Normal"/>
    <w:basedOn w:val="Normale"/>
    <w:pPr>
      <w:spacing w:line="256" w:lineRule="auto"/>
    </w:pPr>
    <w:rPr>
      <w:rFonts w:ascii="Calibri" w:hAnsi="Calibri" w:cs="Calibri"/>
      <w:kern w:val="2"/>
      <w:lang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4030">
      <w:bodyDiv w:val="1"/>
      <w:marLeft w:val="0"/>
      <w:marRight w:val="0"/>
      <w:marTop w:val="0"/>
      <w:marBottom w:val="0"/>
      <w:divBdr>
        <w:top w:val="none" w:sz="0" w:space="0" w:color="auto"/>
        <w:left w:val="none" w:sz="0" w:space="0" w:color="auto"/>
        <w:bottom w:val="none" w:sz="0" w:space="0" w:color="auto"/>
        <w:right w:val="none" w:sz="0" w:space="0" w:color="auto"/>
      </w:divBdr>
    </w:div>
    <w:div w:id="133566894">
      <w:bodyDiv w:val="1"/>
      <w:marLeft w:val="0"/>
      <w:marRight w:val="0"/>
      <w:marTop w:val="0"/>
      <w:marBottom w:val="0"/>
      <w:divBdr>
        <w:top w:val="none" w:sz="0" w:space="0" w:color="auto"/>
        <w:left w:val="none" w:sz="0" w:space="0" w:color="auto"/>
        <w:bottom w:val="none" w:sz="0" w:space="0" w:color="auto"/>
        <w:right w:val="none" w:sz="0" w:space="0" w:color="auto"/>
      </w:divBdr>
    </w:div>
    <w:div w:id="175734660">
      <w:bodyDiv w:val="1"/>
      <w:marLeft w:val="0"/>
      <w:marRight w:val="0"/>
      <w:marTop w:val="0"/>
      <w:marBottom w:val="0"/>
      <w:divBdr>
        <w:top w:val="none" w:sz="0" w:space="0" w:color="auto"/>
        <w:left w:val="none" w:sz="0" w:space="0" w:color="auto"/>
        <w:bottom w:val="none" w:sz="0" w:space="0" w:color="auto"/>
        <w:right w:val="none" w:sz="0" w:space="0" w:color="auto"/>
      </w:divBdr>
    </w:div>
    <w:div w:id="187523036">
      <w:bodyDiv w:val="1"/>
      <w:marLeft w:val="0"/>
      <w:marRight w:val="0"/>
      <w:marTop w:val="0"/>
      <w:marBottom w:val="0"/>
      <w:divBdr>
        <w:top w:val="none" w:sz="0" w:space="0" w:color="auto"/>
        <w:left w:val="none" w:sz="0" w:space="0" w:color="auto"/>
        <w:bottom w:val="none" w:sz="0" w:space="0" w:color="auto"/>
        <w:right w:val="none" w:sz="0" w:space="0" w:color="auto"/>
      </w:divBdr>
    </w:div>
    <w:div w:id="229577841">
      <w:bodyDiv w:val="1"/>
      <w:marLeft w:val="0"/>
      <w:marRight w:val="0"/>
      <w:marTop w:val="0"/>
      <w:marBottom w:val="0"/>
      <w:divBdr>
        <w:top w:val="none" w:sz="0" w:space="0" w:color="auto"/>
        <w:left w:val="none" w:sz="0" w:space="0" w:color="auto"/>
        <w:bottom w:val="none" w:sz="0" w:space="0" w:color="auto"/>
        <w:right w:val="none" w:sz="0" w:space="0" w:color="auto"/>
      </w:divBdr>
      <w:divsChild>
        <w:div w:id="3166715">
          <w:marLeft w:val="-120"/>
          <w:marRight w:val="-120"/>
          <w:marTop w:val="0"/>
          <w:marBottom w:val="0"/>
          <w:divBdr>
            <w:top w:val="none" w:sz="0" w:space="0" w:color="auto"/>
            <w:left w:val="none" w:sz="0" w:space="0" w:color="auto"/>
            <w:bottom w:val="none" w:sz="0" w:space="0" w:color="auto"/>
            <w:right w:val="none" w:sz="0" w:space="0" w:color="auto"/>
          </w:divBdr>
          <w:divsChild>
            <w:div w:id="1197154883">
              <w:marLeft w:val="0"/>
              <w:marRight w:val="0"/>
              <w:marTop w:val="0"/>
              <w:marBottom w:val="0"/>
              <w:divBdr>
                <w:top w:val="none" w:sz="0" w:space="0" w:color="auto"/>
                <w:left w:val="none" w:sz="0" w:space="0" w:color="auto"/>
                <w:bottom w:val="none" w:sz="0" w:space="0" w:color="auto"/>
                <w:right w:val="none" w:sz="0" w:space="0" w:color="auto"/>
              </w:divBdr>
              <w:divsChild>
                <w:div w:id="1069229664">
                  <w:marLeft w:val="-120"/>
                  <w:marRight w:val="-120"/>
                  <w:marTop w:val="0"/>
                  <w:marBottom w:val="0"/>
                  <w:divBdr>
                    <w:top w:val="none" w:sz="0" w:space="0" w:color="auto"/>
                    <w:left w:val="none" w:sz="0" w:space="0" w:color="auto"/>
                    <w:bottom w:val="none" w:sz="0" w:space="0" w:color="auto"/>
                    <w:right w:val="none" w:sz="0" w:space="0" w:color="auto"/>
                  </w:divBdr>
                  <w:divsChild>
                    <w:div w:id="5374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69939">
          <w:marLeft w:val="0"/>
          <w:marRight w:val="0"/>
          <w:marTop w:val="0"/>
          <w:marBottom w:val="0"/>
          <w:divBdr>
            <w:top w:val="none" w:sz="0" w:space="0" w:color="auto"/>
            <w:left w:val="none" w:sz="0" w:space="0" w:color="auto"/>
            <w:bottom w:val="none" w:sz="0" w:space="0" w:color="auto"/>
            <w:right w:val="none" w:sz="0" w:space="0" w:color="auto"/>
          </w:divBdr>
          <w:divsChild>
            <w:div w:id="1064181935">
              <w:marLeft w:val="0"/>
              <w:marRight w:val="0"/>
              <w:marTop w:val="0"/>
              <w:marBottom w:val="0"/>
              <w:divBdr>
                <w:top w:val="none" w:sz="0" w:space="0" w:color="auto"/>
                <w:left w:val="none" w:sz="0" w:space="0" w:color="auto"/>
                <w:bottom w:val="none" w:sz="0" w:space="0" w:color="auto"/>
                <w:right w:val="none" w:sz="0" w:space="0" w:color="auto"/>
              </w:divBdr>
              <w:divsChild>
                <w:div w:id="1524706399">
                  <w:marLeft w:val="0"/>
                  <w:marRight w:val="0"/>
                  <w:marTop w:val="0"/>
                  <w:marBottom w:val="0"/>
                  <w:divBdr>
                    <w:top w:val="none" w:sz="0" w:space="0" w:color="auto"/>
                    <w:left w:val="none" w:sz="0" w:space="0" w:color="auto"/>
                    <w:bottom w:val="none" w:sz="0" w:space="0" w:color="auto"/>
                    <w:right w:val="none" w:sz="0" w:space="0" w:color="auto"/>
                  </w:divBdr>
                  <w:divsChild>
                    <w:div w:id="857353919">
                      <w:marLeft w:val="-120"/>
                      <w:marRight w:val="-120"/>
                      <w:marTop w:val="0"/>
                      <w:marBottom w:val="0"/>
                      <w:divBdr>
                        <w:top w:val="none" w:sz="0" w:space="0" w:color="auto"/>
                        <w:left w:val="none" w:sz="0" w:space="0" w:color="auto"/>
                        <w:bottom w:val="none" w:sz="0" w:space="0" w:color="auto"/>
                        <w:right w:val="none" w:sz="0" w:space="0" w:color="auto"/>
                      </w:divBdr>
                      <w:divsChild>
                        <w:div w:id="711615666">
                          <w:marLeft w:val="0"/>
                          <w:marRight w:val="0"/>
                          <w:marTop w:val="0"/>
                          <w:marBottom w:val="0"/>
                          <w:divBdr>
                            <w:top w:val="none" w:sz="0" w:space="0" w:color="auto"/>
                            <w:left w:val="none" w:sz="0" w:space="0" w:color="auto"/>
                            <w:bottom w:val="none" w:sz="0" w:space="0" w:color="auto"/>
                            <w:right w:val="none" w:sz="0" w:space="0" w:color="auto"/>
                          </w:divBdr>
                          <w:divsChild>
                            <w:div w:id="7133094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809644">
          <w:marLeft w:val="0"/>
          <w:marRight w:val="0"/>
          <w:marTop w:val="450"/>
          <w:marBottom w:val="0"/>
          <w:divBdr>
            <w:top w:val="none" w:sz="0" w:space="0" w:color="auto"/>
            <w:left w:val="none" w:sz="0" w:space="0" w:color="auto"/>
            <w:bottom w:val="none" w:sz="0" w:space="0" w:color="auto"/>
            <w:right w:val="none" w:sz="0" w:space="0" w:color="auto"/>
          </w:divBdr>
        </w:div>
      </w:divsChild>
    </w:div>
    <w:div w:id="240989350">
      <w:bodyDiv w:val="1"/>
      <w:marLeft w:val="0"/>
      <w:marRight w:val="0"/>
      <w:marTop w:val="0"/>
      <w:marBottom w:val="0"/>
      <w:divBdr>
        <w:top w:val="none" w:sz="0" w:space="0" w:color="auto"/>
        <w:left w:val="none" w:sz="0" w:space="0" w:color="auto"/>
        <w:bottom w:val="none" w:sz="0" w:space="0" w:color="auto"/>
        <w:right w:val="none" w:sz="0" w:space="0" w:color="auto"/>
      </w:divBdr>
    </w:div>
    <w:div w:id="265040985">
      <w:bodyDiv w:val="1"/>
      <w:marLeft w:val="0"/>
      <w:marRight w:val="0"/>
      <w:marTop w:val="0"/>
      <w:marBottom w:val="0"/>
      <w:divBdr>
        <w:top w:val="none" w:sz="0" w:space="0" w:color="auto"/>
        <w:left w:val="none" w:sz="0" w:space="0" w:color="auto"/>
        <w:bottom w:val="none" w:sz="0" w:space="0" w:color="auto"/>
        <w:right w:val="none" w:sz="0" w:space="0" w:color="auto"/>
      </w:divBdr>
    </w:div>
    <w:div w:id="282730405">
      <w:bodyDiv w:val="1"/>
      <w:marLeft w:val="0"/>
      <w:marRight w:val="0"/>
      <w:marTop w:val="0"/>
      <w:marBottom w:val="0"/>
      <w:divBdr>
        <w:top w:val="none" w:sz="0" w:space="0" w:color="auto"/>
        <w:left w:val="none" w:sz="0" w:space="0" w:color="auto"/>
        <w:bottom w:val="none" w:sz="0" w:space="0" w:color="auto"/>
        <w:right w:val="none" w:sz="0" w:space="0" w:color="auto"/>
      </w:divBdr>
    </w:div>
    <w:div w:id="352458645">
      <w:bodyDiv w:val="1"/>
      <w:marLeft w:val="0"/>
      <w:marRight w:val="0"/>
      <w:marTop w:val="0"/>
      <w:marBottom w:val="0"/>
      <w:divBdr>
        <w:top w:val="none" w:sz="0" w:space="0" w:color="auto"/>
        <w:left w:val="none" w:sz="0" w:space="0" w:color="auto"/>
        <w:bottom w:val="none" w:sz="0" w:space="0" w:color="auto"/>
        <w:right w:val="none" w:sz="0" w:space="0" w:color="auto"/>
      </w:divBdr>
    </w:div>
    <w:div w:id="377366102">
      <w:bodyDiv w:val="1"/>
      <w:marLeft w:val="0"/>
      <w:marRight w:val="0"/>
      <w:marTop w:val="0"/>
      <w:marBottom w:val="0"/>
      <w:divBdr>
        <w:top w:val="none" w:sz="0" w:space="0" w:color="auto"/>
        <w:left w:val="none" w:sz="0" w:space="0" w:color="auto"/>
        <w:bottom w:val="none" w:sz="0" w:space="0" w:color="auto"/>
        <w:right w:val="none" w:sz="0" w:space="0" w:color="auto"/>
      </w:divBdr>
    </w:div>
    <w:div w:id="395130694">
      <w:bodyDiv w:val="1"/>
      <w:marLeft w:val="0"/>
      <w:marRight w:val="0"/>
      <w:marTop w:val="0"/>
      <w:marBottom w:val="0"/>
      <w:divBdr>
        <w:top w:val="none" w:sz="0" w:space="0" w:color="auto"/>
        <w:left w:val="none" w:sz="0" w:space="0" w:color="auto"/>
        <w:bottom w:val="none" w:sz="0" w:space="0" w:color="auto"/>
        <w:right w:val="none" w:sz="0" w:space="0" w:color="auto"/>
      </w:divBdr>
    </w:div>
    <w:div w:id="415329094">
      <w:bodyDiv w:val="1"/>
      <w:marLeft w:val="0"/>
      <w:marRight w:val="0"/>
      <w:marTop w:val="0"/>
      <w:marBottom w:val="0"/>
      <w:divBdr>
        <w:top w:val="none" w:sz="0" w:space="0" w:color="auto"/>
        <w:left w:val="none" w:sz="0" w:space="0" w:color="auto"/>
        <w:bottom w:val="none" w:sz="0" w:space="0" w:color="auto"/>
        <w:right w:val="none" w:sz="0" w:space="0" w:color="auto"/>
      </w:divBdr>
    </w:div>
    <w:div w:id="433211145">
      <w:bodyDiv w:val="1"/>
      <w:marLeft w:val="0"/>
      <w:marRight w:val="0"/>
      <w:marTop w:val="0"/>
      <w:marBottom w:val="0"/>
      <w:divBdr>
        <w:top w:val="none" w:sz="0" w:space="0" w:color="auto"/>
        <w:left w:val="none" w:sz="0" w:space="0" w:color="auto"/>
        <w:bottom w:val="none" w:sz="0" w:space="0" w:color="auto"/>
        <w:right w:val="none" w:sz="0" w:space="0" w:color="auto"/>
      </w:divBdr>
    </w:div>
    <w:div w:id="434521659">
      <w:bodyDiv w:val="1"/>
      <w:marLeft w:val="0"/>
      <w:marRight w:val="0"/>
      <w:marTop w:val="0"/>
      <w:marBottom w:val="0"/>
      <w:divBdr>
        <w:top w:val="none" w:sz="0" w:space="0" w:color="auto"/>
        <w:left w:val="none" w:sz="0" w:space="0" w:color="auto"/>
        <w:bottom w:val="none" w:sz="0" w:space="0" w:color="auto"/>
        <w:right w:val="none" w:sz="0" w:space="0" w:color="auto"/>
      </w:divBdr>
    </w:div>
    <w:div w:id="468866489">
      <w:bodyDiv w:val="1"/>
      <w:marLeft w:val="0"/>
      <w:marRight w:val="0"/>
      <w:marTop w:val="0"/>
      <w:marBottom w:val="0"/>
      <w:divBdr>
        <w:top w:val="none" w:sz="0" w:space="0" w:color="auto"/>
        <w:left w:val="none" w:sz="0" w:space="0" w:color="auto"/>
        <w:bottom w:val="none" w:sz="0" w:space="0" w:color="auto"/>
        <w:right w:val="none" w:sz="0" w:space="0" w:color="auto"/>
      </w:divBdr>
    </w:div>
    <w:div w:id="530607319">
      <w:bodyDiv w:val="1"/>
      <w:marLeft w:val="0"/>
      <w:marRight w:val="0"/>
      <w:marTop w:val="0"/>
      <w:marBottom w:val="0"/>
      <w:divBdr>
        <w:top w:val="none" w:sz="0" w:space="0" w:color="auto"/>
        <w:left w:val="none" w:sz="0" w:space="0" w:color="auto"/>
        <w:bottom w:val="none" w:sz="0" w:space="0" w:color="auto"/>
        <w:right w:val="none" w:sz="0" w:space="0" w:color="auto"/>
      </w:divBdr>
    </w:div>
    <w:div w:id="567543382">
      <w:bodyDiv w:val="1"/>
      <w:marLeft w:val="0"/>
      <w:marRight w:val="0"/>
      <w:marTop w:val="0"/>
      <w:marBottom w:val="0"/>
      <w:divBdr>
        <w:top w:val="none" w:sz="0" w:space="0" w:color="auto"/>
        <w:left w:val="none" w:sz="0" w:space="0" w:color="auto"/>
        <w:bottom w:val="none" w:sz="0" w:space="0" w:color="auto"/>
        <w:right w:val="none" w:sz="0" w:space="0" w:color="auto"/>
      </w:divBdr>
    </w:div>
    <w:div w:id="590547446">
      <w:bodyDiv w:val="1"/>
      <w:marLeft w:val="0"/>
      <w:marRight w:val="0"/>
      <w:marTop w:val="0"/>
      <w:marBottom w:val="0"/>
      <w:divBdr>
        <w:top w:val="none" w:sz="0" w:space="0" w:color="auto"/>
        <w:left w:val="none" w:sz="0" w:space="0" w:color="auto"/>
        <w:bottom w:val="none" w:sz="0" w:space="0" w:color="auto"/>
        <w:right w:val="none" w:sz="0" w:space="0" w:color="auto"/>
      </w:divBdr>
    </w:div>
    <w:div w:id="630208832">
      <w:bodyDiv w:val="1"/>
      <w:marLeft w:val="0"/>
      <w:marRight w:val="0"/>
      <w:marTop w:val="0"/>
      <w:marBottom w:val="0"/>
      <w:divBdr>
        <w:top w:val="none" w:sz="0" w:space="0" w:color="auto"/>
        <w:left w:val="none" w:sz="0" w:space="0" w:color="auto"/>
        <w:bottom w:val="none" w:sz="0" w:space="0" w:color="auto"/>
        <w:right w:val="none" w:sz="0" w:space="0" w:color="auto"/>
      </w:divBdr>
    </w:div>
    <w:div w:id="642663695">
      <w:bodyDiv w:val="1"/>
      <w:marLeft w:val="0"/>
      <w:marRight w:val="0"/>
      <w:marTop w:val="0"/>
      <w:marBottom w:val="0"/>
      <w:divBdr>
        <w:top w:val="none" w:sz="0" w:space="0" w:color="auto"/>
        <w:left w:val="none" w:sz="0" w:space="0" w:color="auto"/>
        <w:bottom w:val="none" w:sz="0" w:space="0" w:color="auto"/>
        <w:right w:val="none" w:sz="0" w:space="0" w:color="auto"/>
      </w:divBdr>
    </w:div>
    <w:div w:id="647132620">
      <w:bodyDiv w:val="1"/>
      <w:marLeft w:val="0"/>
      <w:marRight w:val="0"/>
      <w:marTop w:val="0"/>
      <w:marBottom w:val="0"/>
      <w:divBdr>
        <w:top w:val="none" w:sz="0" w:space="0" w:color="auto"/>
        <w:left w:val="none" w:sz="0" w:space="0" w:color="auto"/>
        <w:bottom w:val="none" w:sz="0" w:space="0" w:color="auto"/>
        <w:right w:val="none" w:sz="0" w:space="0" w:color="auto"/>
      </w:divBdr>
    </w:div>
    <w:div w:id="706756939">
      <w:bodyDiv w:val="1"/>
      <w:marLeft w:val="0"/>
      <w:marRight w:val="0"/>
      <w:marTop w:val="0"/>
      <w:marBottom w:val="0"/>
      <w:divBdr>
        <w:top w:val="none" w:sz="0" w:space="0" w:color="auto"/>
        <w:left w:val="none" w:sz="0" w:space="0" w:color="auto"/>
        <w:bottom w:val="none" w:sz="0" w:space="0" w:color="auto"/>
        <w:right w:val="none" w:sz="0" w:space="0" w:color="auto"/>
      </w:divBdr>
    </w:div>
    <w:div w:id="720446393">
      <w:bodyDiv w:val="1"/>
      <w:marLeft w:val="0"/>
      <w:marRight w:val="0"/>
      <w:marTop w:val="0"/>
      <w:marBottom w:val="0"/>
      <w:divBdr>
        <w:top w:val="none" w:sz="0" w:space="0" w:color="auto"/>
        <w:left w:val="none" w:sz="0" w:space="0" w:color="auto"/>
        <w:bottom w:val="none" w:sz="0" w:space="0" w:color="auto"/>
        <w:right w:val="none" w:sz="0" w:space="0" w:color="auto"/>
      </w:divBdr>
      <w:divsChild>
        <w:div w:id="669261786">
          <w:marLeft w:val="-120"/>
          <w:marRight w:val="-120"/>
          <w:marTop w:val="0"/>
          <w:marBottom w:val="0"/>
          <w:divBdr>
            <w:top w:val="none" w:sz="0" w:space="0" w:color="auto"/>
            <w:left w:val="none" w:sz="0" w:space="0" w:color="auto"/>
            <w:bottom w:val="none" w:sz="0" w:space="0" w:color="auto"/>
            <w:right w:val="none" w:sz="0" w:space="0" w:color="auto"/>
          </w:divBdr>
          <w:divsChild>
            <w:div w:id="839197092">
              <w:marLeft w:val="0"/>
              <w:marRight w:val="0"/>
              <w:marTop w:val="0"/>
              <w:marBottom w:val="0"/>
              <w:divBdr>
                <w:top w:val="none" w:sz="0" w:space="0" w:color="auto"/>
                <w:left w:val="none" w:sz="0" w:space="0" w:color="auto"/>
                <w:bottom w:val="none" w:sz="0" w:space="0" w:color="auto"/>
                <w:right w:val="none" w:sz="0" w:space="0" w:color="auto"/>
              </w:divBdr>
              <w:divsChild>
                <w:div w:id="2094466740">
                  <w:marLeft w:val="-120"/>
                  <w:marRight w:val="-120"/>
                  <w:marTop w:val="0"/>
                  <w:marBottom w:val="0"/>
                  <w:divBdr>
                    <w:top w:val="none" w:sz="0" w:space="0" w:color="auto"/>
                    <w:left w:val="none" w:sz="0" w:space="0" w:color="auto"/>
                    <w:bottom w:val="none" w:sz="0" w:space="0" w:color="auto"/>
                    <w:right w:val="none" w:sz="0" w:space="0" w:color="auto"/>
                  </w:divBdr>
                  <w:divsChild>
                    <w:div w:id="18653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9881">
          <w:marLeft w:val="0"/>
          <w:marRight w:val="0"/>
          <w:marTop w:val="0"/>
          <w:marBottom w:val="0"/>
          <w:divBdr>
            <w:top w:val="none" w:sz="0" w:space="0" w:color="auto"/>
            <w:left w:val="none" w:sz="0" w:space="0" w:color="auto"/>
            <w:bottom w:val="none" w:sz="0" w:space="0" w:color="auto"/>
            <w:right w:val="none" w:sz="0" w:space="0" w:color="auto"/>
          </w:divBdr>
          <w:divsChild>
            <w:div w:id="1592277020">
              <w:marLeft w:val="0"/>
              <w:marRight w:val="0"/>
              <w:marTop w:val="0"/>
              <w:marBottom w:val="0"/>
              <w:divBdr>
                <w:top w:val="none" w:sz="0" w:space="0" w:color="auto"/>
                <w:left w:val="none" w:sz="0" w:space="0" w:color="auto"/>
                <w:bottom w:val="none" w:sz="0" w:space="0" w:color="auto"/>
                <w:right w:val="none" w:sz="0" w:space="0" w:color="auto"/>
              </w:divBdr>
              <w:divsChild>
                <w:div w:id="306932996">
                  <w:marLeft w:val="0"/>
                  <w:marRight w:val="0"/>
                  <w:marTop w:val="0"/>
                  <w:marBottom w:val="0"/>
                  <w:divBdr>
                    <w:top w:val="none" w:sz="0" w:space="0" w:color="auto"/>
                    <w:left w:val="none" w:sz="0" w:space="0" w:color="auto"/>
                    <w:bottom w:val="none" w:sz="0" w:space="0" w:color="auto"/>
                    <w:right w:val="none" w:sz="0" w:space="0" w:color="auto"/>
                  </w:divBdr>
                  <w:divsChild>
                    <w:div w:id="469977397">
                      <w:marLeft w:val="-120"/>
                      <w:marRight w:val="-120"/>
                      <w:marTop w:val="0"/>
                      <w:marBottom w:val="0"/>
                      <w:divBdr>
                        <w:top w:val="none" w:sz="0" w:space="0" w:color="auto"/>
                        <w:left w:val="none" w:sz="0" w:space="0" w:color="auto"/>
                        <w:bottom w:val="none" w:sz="0" w:space="0" w:color="auto"/>
                        <w:right w:val="none" w:sz="0" w:space="0" w:color="auto"/>
                      </w:divBdr>
                      <w:divsChild>
                        <w:div w:id="1640190742">
                          <w:marLeft w:val="0"/>
                          <w:marRight w:val="0"/>
                          <w:marTop w:val="0"/>
                          <w:marBottom w:val="0"/>
                          <w:divBdr>
                            <w:top w:val="none" w:sz="0" w:space="0" w:color="auto"/>
                            <w:left w:val="none" w:sz="0" w:space="0" w:color="auto"/>
                            <w:bottom w:val="none" w:sz="0" w:space="0" w:color="auto"/>
                            <w:right w:val="none" w:sz="0" w:space="0" w:color="auto"/>
                          </w:divBdr>
                          <w:divsChild>
                            <w:div w:id="1998219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652688">
          <w:marLeft w:val="0"/>
          <w:marRight w:val="0"/>
          <w:marTop w:val="450"/>
          <w:marBottom w:val="0"/>
          <w:divBdr>
            <w:top w:val="none" w:sz="0" w:space="0" w:color="auto"/>
            <w:left w:val="none" w:sz="0" w:space="0" w:color="auto"/>
            <w:bottom w:val="none" w:sz="0" w:space="0" w:color="auto"/>
            <w:right w:val="none" w:sz="0" w:space="0" w:color="auto"/>
          </w:divBdr>
        </w:div>
      </w:divsChild>
    </w:div>
    <w:div w:id="750272867">
      <w:bodyDiv w:val="1"/>
      <w:marLeft w:val="0"/>
      <w:marRight w:val="0"/>
      <w:marTop w:val="0"/>
      <w:marBottom w:val="0"/>
      <w:divBdr>
        <w:top w:val="none" w:sz="0" w:space="0" w:color="auto"/>
        <w:left w:val="none" w:sz="0" w:space="0" w:color="auto"/>
        <w:bottom w:val="none" w:sz="0" w:space="0" w:color="auto"/>
        <w:right w:val="none" w:sz="0" w:space="0" w:color="auto"/>
      </w:divBdr>
    </w:div>
    <w:div w:id="809638873">
      <w:bodyDiv w:val="1"/>
      <w:marLeft w:val="0"/>
      <w:marRight w:val="0"/>
      <w:marTop w:val="0"/>
      <w:marBottom w:val="0"/>
      <w:divBdr>
        <w:top w:val="none" w:sz="0" w:space="0" w:color="auto"/>
        <w:left w:val="none" w:sz="0" w:space="0" w:color="auto"/>
        <w:bottom w:val="none" w:sz="0" w:space="0" w:color="auto"/>
        <w:right w:val="none" w:sz="0" w:space="0" w:color="auto"/>
      </w:divBdr>
    </w:div>
    <w:div w:id="824128517">
      <w:bodyDiv w:val="1"/>
      <w:marLeft w:val="0"/>
      <w:marRight w:val="0"/>
      <w:marTop w:val="0"/>
      <w:marBottom w:val="0"/>
      <w:divBdr>
        <w:top w:val="none" w:sz="0" w:space="0" w:color="auto"/>
        <w:left w:val="none" w:sz="0" w:space="0" w:color="auto"/>
        <w:bottom w:val="none" w:sz="0" w:space="0" w:color="auto"/>
        <w:right w:val="none" w:sz="0" w:space="0" w:color="auto"/>
      </w:divBdr>
    </w:div>
    <w:div w:id="870849379">
      <w:bodyDiv w:val="1"/>
      <w:marLeft w:val="0"/>
      <w:marRight w:val="0"/>
      <w:marTop w:val="0"/>
      <w:marBottom w:val="0"/>
      <w:divBdr>
        <w:top w:val="none" w:sz="0" w:space="0" w:color="auto"/>
        <w:left w:val="none" w:sz="0" w:space="0" w:color="auto"/>
        <w:bottom w:val="none" w:sz="0" w:space="0" w:color="auto"/>
        <w:right w:val="none" w:sz="0" w:space="0" w:color="auto"/>
      </w:divBdr>
    </w:div>
    <w:div w:id="874662725">
      <w:bodyDiv w:val="1"/>
      <w:marLeft w:val="0"/>
      <w:marRight w:val="0"/>
      <w:marTop w:val="0"/>
      <w:marBottom w:val="0"/>
      <w:divBdr>
        <w:top w:val="none" w:sz="0" w:space="0" w:color="auto"/>
        <w:left w:val="none" w:sz="0" w:space="0" w:color="auto"/>
        <w:bottom w:val="none" w:sz="0" w:space="0" w:color="auto"/>
        <w:right w:val="none" w:sz="0" w:space="0" w:color="auto"/>
      </w:divBdr>
    </w:div>
    <w:div w:id="989096094">
      <w:bodyDiv w:val="1"/>
      <w:marLeft w:val="0"/>
      <w:marRight w:val="0"/>
      <w:marTop w:val="0"/>
      <w:marBottom w:val="0"/>
      <w:divBdr>
        <w:top w:val="none" w:sz="0" w:space="0" w:color="auto"/>
        <w:left w:val="none" w:sz="0" w:space="0" w:color="auto"/>
        <w:bottom w:val="none" w:sz="0" w:space="0" w:color="auto"/>
        <w:right w:val="none" w:sz="0" w:space="0" w:color="auto"/>
      </w:divBdr>
    </w:div>
    <w:div w:id="1007445359">
      <w:bodyDiv w:val="1"/>
      <w:marLeft w:val="0"/>
      <w:marRight w:val="0"/>
      <w:marTop w:val="0"/>
      <w:marBottom w:val="0"/>
      <w:divBdr>
        <w:top w:val="none" w:sz="0" w:space="0" w:color="auto"/>
        <w:left w:val="none" w:sz="0" w:space="0" w:color="auto"/>
        <w:bottom w:val="none" w:sz="0" w:space="0" w:color="auto"/>
        <w:right w:val="none" w:sz="0" w:space="0" w:color="auto"/>
      </w:divBdr>
    </w:div>
    <w:div w:id="1009409088">
      <w:bodyDiv w:val="1"/>
      <w:marLeft w:val="0"/>
      <w:marRight w:val="0"/>
      <w:marTop w:val="0"/>
      <w:marBottom w:val="0"/>
      <w:divBdr>
        <w:top w:val="none" w:sz="0" w:space="0" w:color="auto"/>
        <w:left w:val="none" w:sz="0" w:space="0" w:color="auto"/>
        <w:bottom w:val="none" w:sz="0" w:space="0" w:color="auto"/>
        <w:right w:val="none" w:sz="0" w:space="0" w:color="auto"/>
      </w:divBdr>
    </w:div>
    <w:div w:id="1012222575">
      <w:bodyDiv w:val="1"/>
      <w:marLeft w:val="0"/>
      <w:marRight w:val="0"/>
      <w:marTop w:val="0"/>
      <w:marBottom w:val="0"/>
      <w:divBdr>
        <w:top w:val="none" w:sz="0" w:space="0" w:color="auto"/>
        <w:left w:val="none" w:sz="0" w:space="0" w:color="auto"/>
        <w:bottom w:val="none" w:sz="0" w:space="0" w:color="auto"/>
        <w:right w:val="none" w:sz="0" w:space="0" w:color="auto"/>
      </w:divBdr>
    </w:div>
    <w:div w:id="1255287148">
      <w:bodyDiv w:val="1"/>
      <w:marLeft w:val="0"/>
      <w:marRight w:val="0"/>
      <w:marTop w:val="0"/>
      <w:marBottom w:val="0"/>
      <w:divBdr>
        <w:top w:val="none" w:sz="0" w:space="0" w:color="auto"/>
        <w:left w:val="none" w:sz="0" w:space="0" w:color="auto"/>
        <w:bottom w:val="none" w:sz="0" w:space="0" w:color="auto"/>
        <w:right w:val="none" w:sz="0" w:space="0" w:color="auto"/>
      </w:divBdr>
    </w:div>
    <w:div w:id="1269194682">
      <w:bodyDiv w:val="1"/>
      <w:marLeft w:val="0"/>
      <w:marRight w:val="0"/>
      <w:marTop w:val="0"/>
      <w:marBottom w:val="0"/>
      <w:divBdr>
        <w:top w:val="none" w:sz="0" w:space="0" w:color="auto"/>
        <w:left w:val="none" w:sz="0" w:space="0" w:color="auto"/>
        <w:bottom w:val="none" w:sz="0" w:space="0" w:color="auto"/>
        <w:right w:val="none" w:sz="0" w:space="0" w:color="auto"/>
      </w:divBdr>
    </w:div>
    <w:div w:id="1295065638">
      <w:bodyDiv w:val="1"/>
      <w:marLeft w:val="0"/>
      <w:marRight w:val="0"/>
      <w:marTop w:val="0"/>
      <w:marBottom w:val="0"/>
      <w:divBdr>
        <w:top w:val="none" w:sz="0" w:space="0" w:color="auto"/>
        <w:left w:val="none" w:sz="0" w:space="0" w:color="auto"/>
        <w:bottom w:val="none" w:sz="0" w:space="0" w:color="auto"/>
        <w:right w:val="none" w:sz="0" w:space="0" w:color="auto"/>
      </w:divBdr>
    </w:div>
    <w:div w:id="1309482424">
      <w:bodyDiv w:val="1"/>
      <w:marLeft w:val="0"/>
      <w:marRight w:val="0"/>
      <w:marTop w:val="0"/>
      <w:marBottom w:val="0"/>
      <w:divBdr>
        <w:top w:val="none" w:sz="0" w:space="0" w:color="auto"/>
        <w:left w:val="none" w:sz="0" w:space="0" w:color="auto"/>
        <w:bottom w:val="none" w:sz="0" w:space="0" w:color="auto"/>
        <w:right w:val="none" w:sz="0" w:space="0" w:color="auto"/>
      </w:divBdr>
    </w:div>
    <w:div w:id="1380933300">
      <w:bodyDiv w:val="1"/>
      <w:marLeft w:val="0"/>
      <w:marRight w:val="0"/>
      <w:marTop w:val="0"/>
      <w:marBottom w:val="0"/>
      <w:divBdr>
        <w:top w:val="none" w:sz="0" w:space="0" w:color="auto"/>
        <w:left w:val="none" w:sz="0" w:space="0" w:color="auto"/>
        <w:bottom w:val="none" w:sz="0" w:space="0" w:color="auto"/>
        <w:right w:val="none" w:sz="0" w:space="0" w:color="auto"/>
      </w:divBdr>
    </w:div>
    <w:div w:id="1488085309">
      <w:bodyDiv w:val="1"/>
      <w:marLeft w:val="0"/>
      <w:marRight w:val="0"/>
      <w:marTop w:val="0"/>
      <w:marBottom w:val="0"/>
      <w:divBdr>
        <w:top w:val="none" w:sz="0" w:space="0" w:color="auto"/>
        <w:left w:val="none" w:sz="0" w:space="0" w:color="auto"/>
        <w:bottom w:val="none" w:sz="0" w:space="0" w:color="auto"/>
        <w:right w:val="none" w:sz="0" w:space="0" w:color="auto"/>
      </w:divBdr>
    </w:div>
    <w:div w:id="1490636963">
      <w:bodyDiv w:val="1"/>
      <w:marLeft w:val="0"/>
      <w:marRight w:val="0"/>
      <w:marTop w:val="0"/>
      <w:marBottom w:val="0"/>
      <w:divBdr>
        <w:top w:val="none" w:sz="0" w:space="0" w:color="auto"/>
        <w:left w:val="none" w:sz="0" w:space="0" w:color="auto"/>
        <w:bottom w:val="none" w:sz="0" w:space="0" w:color="auto"/>
        <w:right w:val="none" w:sz="0" w:space="0" w:color="auto"/>
      </w:divBdr>
    </w:div>
    <w:div w:id="1557160773">
      <w:bodyDiv w:val="1"/>
      <w:marLeft w:val="0"/>
      <w:marRight w:val="0"/>
      <w:marTop w:val="0"/>
      <w:marBottom w:val="0"/>
      <w:divBdr>
        <w:top w:val="none" w:sz="0" w:space="0" w:color="auto"/>
        <w:left w:val="none" w:sz="0" w:space="0" w:color="auto"/>
        <w:bottom w:val="none" w:sz="0" w:space="0" w:color="auto"/>
        <w:right w:val="none" w:sz="0" w:space="0" w:color="auto"/>
      </w:divBdr>
    </w:div>
    <w:div w:id="1643074334">
      <w:bodyDiv w:val="1"/>
      <w:marLeft w:val="0"/>
      <w:marRight w:val="0"/>
      <w:marTop w:val="0"/>
      <w:marBottom w:val="0"/>
      <w:divBdr>
        <w:top w:val="none" w:sz="0" w:space="0" w:color="auto"/>
        <w:left w:val="none" w:sz="0" w:space="0" w:color="auto"/>
        <w:bottom w:val="none" w:sz="0" w:space="0" w:color="auto"/>
        <w:right w:val="none" w:sz="0" w:space="0" w:color="auto"/>
      </w:divBdr>
    </w:div>
    <w:div w:id="1698391656">
      <w:bodyDiv w:val="1"/>
      <w:marLeft w:val="0"/>
      <w:marRight w:val="0"/>
      <w:marTop w:val="0"/>
      <w:marBottom w:val="0"/>
      <w:divBdr>
        <w:top w:val="none" w:sz="0" w:space="0" w:color="auto"/>
        <w:left w:val="none" w:sz="0" w:space="0" w:color="auto"/>
        <w:bottom w:val="none" w:sz="0" w:space="0" w:color="auto"/>
        <w:right w:val="none" w:sz="0" w:space="0" w:color="auto"/>
      </w:divBdr>
    </w:div>
    <w:div w:id="1870071368">
      <w:bodyDiv w:val="1"/>
      <w:marLeft w:val="0"/>
      <w:marRight w:val="0"/>
      <w:marTop w:val="0"/>
      <w:marBottom w:val="0"/>
      <w:divBdr>
        <w:top w:val="none" w:sz="0" w:space="0" w:color="auto"/>
        <w:left w:val="none" w:sz="0" w:space="0" w:color="auto"/>
        <w:bottom w:val="none" w:sz="0" w:space="0" w:color="auto"/>
        <w:right w:val="none" w:sz="0" w:space="0" w:color="auto"/>
      </w:divBdr>
    </w:div>
    <w:div w:id="1880848711">
      <w:bodyDiv w:val="1"/>
      <w:marLeft w:val="0"/>
      <w:marRight w:val="0"/>
      <w:marTop w:val="0"/>
      <w:marBottom w:val="0"/>
      <w:divBdr>
        <w:top w:val="none" w:sz="0" w:space="0" w:color="auto"/>
        <w:left w:val="none" w:sz="0" w:space="0" w:color="auto"/>
        <w:bottom w:val="none" w:sz="0" w:space="0" w:color="auto"/>
        <w:right w:val="none" w:sz="0" w:space="0" w:color="auto"/>
      </w:divBdr>
    </w:div>
    <w:div w:id="1911041518">
      <w:bodyDiv w:val="1"/>
      <w:marLeft w:val="0"/>
      <w:marRight w:val="0"/>
      <w:marTop w:val="0"/>
      <w:marBottom w:val="0"/>
      <w:divBdr>
        <w:top w:val="none" w:sz="0" w:space="0" w:color="auto"/>
        <w:left w:val="none" w:sz="0" w:space="0" w:color="auto"/>
        <w:bottom w:val="none" w:sz="0" w:space="0" w:color="auto"/>
        <w:right w:val="none" w:sz="0" w:space="0" w:color="auto"/>
      </w:divBdr>
    </w:div>
    <w:div w:id="1914003009">
      <w:bodyDiv w:val="1"/>
      <w:marLeft w:val="0"/>
      <w:marRight w:val="0"/>
      <w:marTop w:val="0"/>
      <w:marBottom w:val="0"/>
      <w:divBdr>
        <w:top w:val="none" w:sz="0" w:space="0" w:color="auto"/>
        <w:left w:val="none" w:sz="0" w:space="0" w:color="auto"/>
        <w:bottom w:val="none" w:sz="0" w:space="0" w:color="auto"/>
        <w:right w:val="none" w:sz="0" w:space="0" w:color="auto"/>
      </w:divBdr>
    </w:div>
    <w:div w:id="1984121069">
      <w:bodyDiv w:val="1"/>
      <w:marLeft w:val="0"/>
      <w:marRight w:val="0"/>
      <w:marTop w:val="0"/>
      <w:marBottom w:val="0"/>
      <w:divBdr>
        <w:top w:val="none" w:sz="0" w:space="0" w:color="auto"/>
        <w:left w:val="none" w:sz="0" w:space="0" w:color="auto"/>
        <w:bottom w:val="none" w:sz="0" w:space="0" w:color="auto"/>
        <w:right w:val="none" w:sz="0" w:space="0" w:color="auto"/>
      </w:divBdr>
    </w:div>
    <w:div w:id="2084259978">
      <w:bodyDiv w:val="1"/>
      <w:marLeft w:val="0"/>
      <w:marRight w:val="0"/>
      <w:marTop w:val="0"/>
      <w:marBottom w:val="0"/>
      <w:divBdr>
        <w:top w:val="none" w:sz="0" w:space="0" w:color="auto"/>
        <w:left w:val="none" w:sz="0" w:space="0" w:color="auto"/>
        <w:bottom w:val="none" w:sz="0" w:space="0" w:color="auto"/>
        <w:right w:val="none" w:sz="0" w:space="0" w:color="auto"/>
      </w:divBdr>
    </w:div>
    <w:div w:id="2087026187">
      <w:bodyDiv w:val="1"/>
      <w:marLeft w:val="0"/>
      <w:marRight w:val="0"/>
      <w:marTop w:val="0"/>
      <w:marBottom w:val="0"/>
      <w:divBdr>
        <w:top w:val="none" w:sz="0" w:space="0" w:color="auto"/>
        <w:left w:val="none" w:sz="0" w:space="0" w:color="auto"/>
        <w:bottom w:val="none" w:sz="0" w:space="0" w:color="auto"/>
        <w:right w:val="none" w:sz="0" w:space="0" w:color="auto"/>
      </w:divBdr>
    </w:div>
    <w:div w:id="2089308261">
      <w:bodyDiv w:val="1"/>
      <w:marLeft w:val="0"/>
      <w:marRight w:val="0"/>
      <w:marTop w:val="0"/>
      <w:marBottom w:val="0"/>
      <w:divBdr>
        <w:top w:val="none" w:sz="0" w:space="0" w:color="auto"/>
        <w:left w:val="none" w:sz="0" w:space="0" w:color="auto"/>
        <w:bottom w:val="none" w:sz="0" w:space="0" w:color="auto"/>
        <w:right w:val="none" w:sz="0" w:space="0" w:color="auto"/>
      </w:divBdr>
    </w:div>
    <w:div w:id="210379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31AC7D7234E424A9359920138C20476" ma:contentTypeVersion="13" ma:contentTypeDescription="Creare un nuovo documento." ma:contentTypeScope="" ma:versionID="f9e69e0f2b6130d6757ba3a55ea7b110">
  <xsd:schema xmlns:xsd="http://www.w3.org/2001/XMLSchema" xmlns:xs="http://www.w3.org/2001/XMLSchema" xmlns:p="http://schemas.microsoft.com/office/2006/metadata/properties" xmlns:ns1="http://schemas.microsoft.com/sharepoint/v3" xmlns:ns2="d07de8af-819e-45f5-a427-057b4763e9fe" xmlns:ns3="94c67d24-626b-409d-be58-d6febb32e44d" targetNamespace="http://schemas.microsoft.com/office/2006/metadata/properties" ma:root="true" ma:fieldsID="f9703b85d00a9b4bf1cdd1b3f0ffcb4d" ns1:_="" ns2:_="" ns3:_="">
    <xsd:import namespace="http://schemas.microsoft.com/sharepoint/v3"/>
    <xsd:import namespace="d07de8af-819e-45f5-a427-057b4763e9fe"/>
    <xsd:import namespace="94c67d24-626b-409d-be58-d6febb32e4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tà criteri di conformità unificati" ma:hidden="true" ma:internalName="_ip_UnifiedCompliancePolicyProperties">
      <xsd:simpleType>
        <xsd:restriction base="dms:Note"/>
      </xsd:simpleType>
    </xsd:element>
    <xsd:element name="_ip_UnifiedCompliancePolicyUIAction" ma:index="20"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de8af-819e-45f5-a427-057b4763e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df25bea4-72a1-4972-b62b-d1be7d2bd9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67d24-626b-409d-be58-d6febb32e4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a8229c-8dff-4595-bce3-d794ab778d28}" ma:internalName="TaxCatchAll" ma:showField="CatchAllData" ma:web="94c67d24-626b-409d-be58-d6febb32e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c67d24-626b-409d-be58-d6febb32e44d" xsi:nil="true"/>
    <_ip_UnifiedCompliancePolicyProperties xmlns="http://schemas.microsoft.com/sharepoint/v3" xsi:nil="true"/>
    <lcf76f155ced4ddcb4097134ff3c332f xmlns="d07de8af-819e-45f5-a427-057b4763e9f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95628-6F2F-46C7-84C1-DCEBAD09A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de8af-819e-45f5-a427-057b4763e9fe"/>
    <ds:schemaRef ds:uri="94c67d24-626b-409d-be58-d6febb32e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05703-66CC-4A32-AD54-E907CA8B42D4}">
  <ds:schemaRefs>
    <ds:schemaRef ds:uri="http://schemas.openxmlformats.org/officeDocument/2006/bibliography"/>
  </ds:schemaRefs>
</ds:datastoreItem>
</file>

<file path=customXml/itemProps3.xml><?xml version="1.0" encoding="utf-8"?>
<ds:datastoreItem xmlns:ds="http://schemas.openxmlformats.org/officeDocument/2006/customXml" ds:itemID="{0DA1357D-C5CB-47C3-A4DC-0759727ED1DF}">
  <ds:schemaRefs>
    <ds:schemaRef ds:uri="http://schemas.microsoft.com/office/2006/metadata/properties"/>
    <ds:schemaRef ds:uri="http://schemas.microsoft.com/office/infopath/2007/PartnerControls"/>
    <ds:schemaRef ds:uri="http://schemas.microsoft.com/sharepoint/v3"/>
    <ds:schemaRef ds:uri="94c67d24-626b-409d-be58-d6febb32e44d"/>
    <ds:schemaRef ds:uri="d07de8af-819e-45f5-a427-057b4763e9fe"/>
  </ds:schemaRefs>
</ds:datastoreItem>
</file>

<file path=customXml/itemProps4.xml><?xml version="1.0" encoding="utf-8"?>
<ds:datastoreItem xmlns:ds="http://schemas.openxmlformats.org/officeDocument/2006/customXml" ds:itemID="{4A931D12-D96F-4B45-9E31-B45E8A2FE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1083</Words>
  <Characters>6719</Characters>
  <Application>Microsoft Office Word</Application>
  <DocSecurity>0</DocSecurity>
  <Lines>93</Lines>
  <Paragraphs>25</Paragraphs>
  <ScaleCrop>false</ScaleCrop>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DEE-DIV II</cp:lastModifiedBy>
  <cp:revision>8</cp:revision>
  <cp:lastPrinted>2025-07-25T09:07:00Z</cp:lastPrinted>
  <dcterms:created xsi:type="dcterms:W3CDTF">2026-07-28T13:59:00Z</dcterms:created>
  <dcterms:modified xsi:type="dcterms:W3CDTF">2026-08-03T09:24:00Z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2025-06-06T09:11:50Z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d68a1296-a02c-4e18-9c88-52d31862cc4b</vt:lpwstr>
  </property>
  <property fmtid="{D5CDD505-2E9C-101B-9397-08002B2CF9AE}" pid="8" name="MSIP_Label_94f5f15f-11ca-4705-a655-5e46846a1c6b_ContentBits">
    <vt:lpwstr>0</vt:lpwstr>
  </property>
  <property fmtid="{D5CDD505-2E9C-101B-9397-08002B2CF9AE}" pid="9" name="MSIP_Label_94f5f15f-11ca-4705-a655-5e46846a1c6b_Tag">
    <vt:lpwstr>10, 3, 0, 1</vt:lpwstr>
  </property>
  <property fmtid="{D5CDD505-2E9C-101B-9397-08002B2CF9AE}" pid="10" name="ContentTypeId">
    <vt:lpwstr>0x010100D31AC7D7234E424A9359920138C20476</vt:lpwstr>
  </property>
  <property fmtid="{D5CDD505-2E9C-101B-9397-08002B2CF9AE}" pid="11" name="MediaServiceImageTags">
    <vt:lpwstr/>
  </property>
</Properties>
</file>